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ageBreakBefore w:val="0"/>
        <w:shd w:fill="ffffff" w:val="clear"/>
        <w:bidi w:val="1"/>
        <w:spacing w:after="0" w:before="120" w:line="264" w:lineRule="auto"/>
        <w:ind w:left="720" w:right="1080"/>
        <w:jc w:val="both"/>
        <w:rPr>
          <w:b w:val="1"/>
          <w:color w:val="000000"/>
        </w:rPr>
      </w:pPr>
      <w:bookmarkStart w:colFirst="0" w:colLast="0" w:name="_lwtwrulvs9n0" w:id="0"/>
      <w:bookmarkEnd w:id="0"/>
      <w:hyperlink r:id="rId6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אקלים</w:t>
        </w:r>
      </w:hyperlink>
      <w:hyperlink r:id="rId7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חינוכי</w:t>
        </w:r>
      </w:hyperlink>
      <w:hyperlink r:id="rId9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מיטבי</w:t>
        </w:r>
      </w:hyperlink>
      <w:hyperlink r:id="rId11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והתמודדות</w:t>
        </w:r>
      </w:hyperlink>
      <w:hyperlink r:id="rId13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מוסדות</w:t>
        </w:r>
      </w:hyperlink>
      <w:hyperlink r:id="rId15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חינוך</w:t>
        </w:r>
      </w:hyperlink>
      <w:hyperlink r:id="rId17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עם</w:t>
        </w:r>
      </w:hyperlink>
      <w:hyperlink r:id="rId19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אירועי</w:t>
        </w:r>
      </w:hyperlink>
      <w:hyperlink r:id="rId21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22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אלימות</w:t>
        </w:r>
      </w:hyperlink>
      <w:hyperlink r:id="rId23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24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וסיכון</w:t>
        </w:r>
      </w:hyperlink>
      <w:hyperlink r:id="rId25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- </w:t>
        </w:r>
      </w:hyperlink>
      <w:hyperlink r:id="rId26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חוזר</w:t>
        </w:r>
      </w:hyperlink>
      <w:hyperlink r:id="rId27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 </w:t>
        </w:r>
      </w:hyperlink>
      <w:hyperlink r:id="rId28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מנכ</w:t>
        </w:r>
      </w:hyperlink>
      <w:hyperlink r:id="rId29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"</w:t>
        </w:r>
      </w:hyperlink>
      <w:hyperlink r:id="rId30">
        <w:r w:rsidDel="00000000" w:rsidR="00000000" w:rsidRPr="00000000">
          <w:rPr>
            <w:b w:val="1"/>
            <w:color w:val="1155cc"/>
            <w:u w:val="single"/>
            <w:rtl w:val="1"/>
          </w:rPr>
          <w:t xml:space="preserve">ל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ageBreakBefore w:val="0"/>
        <w:shd w:fill="ffffff" w:val="clear"/>
        <w:bidi w:val="1"/>
        <w:spacing w:after="0" w:before="120" w:line="264" w:lineRule="auto"/>
        <w:ind w:left="720" w:right="1080"/>
        <w:jc w:val="both"/>
        <w:rPr>
          <w:b w:val="1"/>
          <w:color w:val="000000"/>
        </w:rPr>
      </w:pPr>
      <w:bookmarkStart w:colFirst="0" w:colLast="0" w:name="_8w4pjteogmad" w:id="1"/>
      <w:bookmarkEnd w:id="1"/>
      <w:r w:rsidDel="00000000" w:rsidR="00000000" w:rsidRPr="00000000">
        <w:rPr>
          <w:b w:val="1"/>
          <w:color w:val="000000"/>
          <w:rtl w:val="1"/>
        </w:rPr>
        <w:t xml:space="preserve">נ</w:t>
      </w:r>
      <w:r w:rsidDel="00000000" w:rsidR="00000000" w:rsidRPr="00000000">
        <w:rPr>
          <w:b w:val="1"/>
          <w:color w:val="000000"/>
          <w:rtl w:val="1"/>
        </w:rPr>
        <w:t xml:space="preserve">ושאים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מרכזיים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בתכנית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המערכתית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הבית</w:t>
      </w:r>
      <w:r w:rsidDel="00000000" w:rsidR="00000000" w:rsidRPr="00000000">
        <w:rPr>
          <w:b w:val="1"/>
          <w:color w:val="000000"/>
          <w:rtl w:val="1"/>
        </w:rPr>
        <w:t xml:space="preserve">-</w:t>
      </w:r>
      <w:r w:rsidDel="00000000" w:rsidR="00000000" w:rsidRPr="00000000">
        <w:rPr>
          <w:b w:val="1"/>
          <w:color w:val="000000"/>
          <w:rtl w:val="1"/>
        </w:rPr>
        <w:t xml:space="preserve">ספרית</w:t>
      </w:r>
    </w:p>
    <w:p w:rsidR="00000000" w:rsidDel="00000000" w:rsidP="00000000" w:rsidRDefault="00000000" w:rsidRPr="00000000" w14:paraId="00000003">
      <w:pPr>
        <w:pageBreakBefore w:val="0"/>
        <w:shd w:fill="ffffff" w:val="clear"/>
        <w:bidi w:val="1"/>
        <w:ind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1"/>
        </w:rPr>
        <w:t xml:space="preserve">הנושאים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שייכללו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בתכנית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-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ספרית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יהוו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בסיס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לשיח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בחדר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ובמקביל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לשיח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בכיתות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pBdr>
          <w:right w:color="auto" w:space="42" w:sz="0" w:val="none"/>
        </w:pBdr>
        <w:shd w:fill="ffffff" w:val="clear"/>
        <w:bidi w:val="1"/>
        <w:ind w:left="860"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1.5.1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אמנה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יבנה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תפיסה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חינוכית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אקלים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בטוח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ומניעת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אלימות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בסיס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דיאלוג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באי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ובין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תפיסה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שתשמש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תשתית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ערכית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וחינוכית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לתכנית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ההתערבות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pageBreakBefore w:val="0"/>
        <w:pBdr>
          <w:right w:color="auto" w:space="42" w:sz="0" w:val="none"/>
        </w:pBdr>
        <w:shd w:fill="ffffff" w:val="clear"/>
        <w:bidi w:val="1"/>
        <w:ind w:left="860"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1.5.2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מדיניות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-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ספרית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יקיים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מעמיק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שמטרתו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גיוס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שותפים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ליצירת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שפה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משותפת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ומדיניות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אחידה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ידועה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מראש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ונאכפת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באורח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הוגן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שתשדר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מסר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חד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-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משמעי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נגד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אלימות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ינסח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תקנון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בשיתוף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נציגי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וההורים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הקובע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חוקים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ונהלים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אחידים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וכולל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מדרג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תגובות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לאי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ציות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לכללים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ולנהלים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אלה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pBdr>
          <w:right w:color="auto" w:space="42" w:sz="0" w:val="none"/>
        </w:pBdr>
        <w:shd w:fill="ffffff" w:val="clear"/>
        <w:bidi w:val="1"/>
        <w:ind w:left="860"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1.5.3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נוכחות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יפעל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לקדם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נוכחות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החינוכי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לצורך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השגחה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בשטחי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לרבות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באזורים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הסמויים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העין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פי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סעיף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5.1-54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בחוזר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הוראות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הקבע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/7(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ג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), "</w:t>
      </w:r>
      <w:hyperlink r:id="rId31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ניהול</w:t>
        </w:r>
      </w:hyperlink>
      <w:hyperlink r:id="rId32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 </w:t>
        </w:r>
      </w:hyperlink>
      <w:hyperlink r:id="rId33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שגרת</w:t>
        </w:r>
      </w:hyperlink>
      <w:hyperlink r:id="rId34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 </w:t>
        </w:r>
      </w:hyperlink>
      <w:hyperlink r:id="rId35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הביטחון</w:t>
        </w:r>
      </w:hyperlink>
      <w:hyperlink r:id="rId36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 </w:t>
        </w:r>
      </w:hyperlink>
      <w:hyperlink r:id="rId37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בביה</w:t>
        </w:r>
      </w:hyperlink>
      <w:hyperlink r:id="rId38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"</w:t>
        </w:r>
      </w:hyperlink>
      <w:hyperlink r:id="rId39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ס</w:t>
        </w:r>
      </w:hyperlink>
      <w:hyperlink r:id="rId40">
        <w:r w:rsidDel="00000000" w:rsidR="00000000" w:rsidRPr="00000000">
          <w:rPr>
            <w:sz w:val="24"/>
            <w:szCs w:val="24"/>
            <w:u w:val="single"/>
            <w:rtl w:val="1"/>
          </w:rPr>
          <w:t xml:space="preserve">"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נוכחותם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תגביר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רמת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המוגנות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ואת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תחושת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הביטחון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pBdr>
          <w:right w:color="auto" w:space="42" w:sz="0" w:val="none"/>
        </w:pBdr>
        <w:shd w:fill="ffffff" w:val="clear"/>
        <w:bidi w:val="1"/>
        <w:ind w:left="860"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1.5.4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סמכות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ומנהיגות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מורית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תהליך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החיזוק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סמכות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יתמקד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בהגברת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הנוכחות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המשמעותית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המבוגרים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בחיי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כבסיס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ליצירת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אקלים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מיטבי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להעברת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מסר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חד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משמעי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נגד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אלימות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ולחיזוק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הקשר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המבוגרים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כמו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יושם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דגש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פיתוח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כלים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שיסייעו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אירועי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אלימות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ולמנוע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הסלמתם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התהליך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יעודד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תחושת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מעורבות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ואכפתיות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בהתמודדות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אירועי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אלימות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תוך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יצירת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שיתוף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פעולה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pBdr>
          <w:right w:color="auto" w:space="42" w:sz="0" w:val="none"/>
        </w:pBdr>
        <w:shd w:fill="ffffff" w:val="clear"/>
        <w:bidi w:val="1"/>
        <w:ind w:left="860"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1.5.5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עם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ילדים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בעלי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בעיות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התכנית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שתתגבש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תכלול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איתור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מוקדם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בעלי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קשות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כולל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אלימה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מיפוי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צורכיהם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ומתן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מענה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ייחודי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להם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ולהורים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התערבות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בקרב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תיעשה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באופן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פרטני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קבוצתי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שניהם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תוך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לנושאים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כמו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עיצוב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תיעול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כעסים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ועוד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ההנחיה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ולהורים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תיעשה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ידי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אנשי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המקצוע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תוך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מתן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כלים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להתמודדות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ילדים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בעלי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קשיי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וכן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תמיכה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רגשית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והעצמה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תחושת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המסוגלות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שלהם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בהתמודדות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זו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pBdr>
          <w:right w:color="auto" w:space="42" w:sz="0" w:val="none"/>
        </w:pBdr>
        <w:shd w:fill="ffffff" w:val="clear"/>
        <w:bidi w:val="1"/>
        <w:ind w:left="860"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1.5.6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דיאלוג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מעצים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התכנית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תכלול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פיתוח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הידברות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מעמיקה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באי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בכלל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ובין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בפרט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ויצירת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קשר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דיאלוג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מטרת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הדיאלוג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היא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לספק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אוזן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קשבת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 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ומענה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לצורכיהם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ירכשו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ידע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לביצוע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דיאלוג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מעצים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המאפשר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לפרט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לבוא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לידי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ביטוי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באופן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אישי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במסגרת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שונה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מהמסגרת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הכיתתית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וליצור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מערכת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יחסים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המבוססת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היכרות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אישית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אכפתיות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הבנה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יבנה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מסגרת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ארגונית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שתאפשר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קיום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שיחות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אישיות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מורה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לתלמיד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דיונים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כיתתיים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ושיחות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משוב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pBdr>
          <w:right w:color="auto" w:space="42" w:sz="0" w:val="none"/>
        </w:pBdr>
        <w:shd w:fill="ffffff" w:val="clear"/>
        <w:bidi w:val="1"/>
        <w:ind w:left="860"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1.5.7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אקלים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לימודי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התכנית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תפעל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לפיתוח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סביבות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למידה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המאפשרות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למידה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המונעת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מתוך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מוטיבציה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פנימית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עניין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והנאה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וכן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העצמה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תחושת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המסוגלות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התהליך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יכלול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אפשרויות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בחירה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למידה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מהצלחות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למידה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רלוונטית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לחיי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והצבת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אתגרי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חשיבה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סטנדרט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4).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האקלים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הלימודי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אחת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ממטרות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המדיניות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ללמידה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משמעותית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ageBreakBefore w:val="0"/>
        <w:pBdr>
          <w:right w:color="auto" w:space="42" w:sz="0" w:val="none"/>
        </w:pBdr>
        <w:shd w:fill="ffffff" w:val="clear"/>
        <w:bidi w:val="1"/>
        <w:ind w:left="860"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1.5.8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מעורבות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חברתית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ותרומה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לקהילה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התכנית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תפתח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בקרב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המודעות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לחשיבותן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המעורבות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החברתית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והתרומה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לקהילה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לחיזוק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החוסן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הנפשי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ותרומתן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להפחתת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תחושת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הניכור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ולצמצום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אלימות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והתנהגויות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מסוכנות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יבנה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מודל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לחיזוק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תחושת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המסוגלות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השייכות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והאחריות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בקרב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ידי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שילובם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בפעילויות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מעורבות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חברתית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ובתרומה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לקהילה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בתוך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ומחוצה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סטנדרט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3).</w:t>
      </w:r>
    </w:p>
    <w:p w:rsidR="00000000" w:rsidDel="00000000" w:rsidP="00000000" w:rsidRDefault="00000000" w:rsidRPr="00000000" w14:paraId="0000000C">
      <w:pPr>
        <w:pageBreakBefore w:val="0"/>
        <w:pBdr>
          <w:right w:color="auto" w:space="42" w:sz="0" w:val="none"/>
        </w:pBdr>
        <w:shd w:fill="ffffff" w:val="clear"/>
        <w:bidi w:val="1"/>
        <w:ind w:left="860" w:right="108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1.5.9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שיתוף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הורים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שיתוף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בנעשה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ברבדים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הלימודיים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החינוכיים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והערכיים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יחזק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הקשר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באי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שיתוף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במדיניות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ועדכונם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לגבי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התהליכים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והטיפול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באירועי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אלימות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יגבירו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האמון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ואת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שיתוף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הפעולה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לצוות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שיתוף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בפיתוח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אחד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מהנושאים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שצוינו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לעיל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מוגנות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סמכות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דיאלוג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ועוד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יחזק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האקלים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המיטבי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בבית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ויקדם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הצלחת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התכנית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סטנדרט</w:t>
      </w:r>
      <w:r w:rsidDel="00000000" w:rsidR="00000000" w:rsidRPr="00000000">
        <w:rPr>
          <w:color w:val="333333"/>
          <w:sz w:val="24"/>
          <w:szCs w:val="24"/>
          <w:rtl w:val="1"/>
        </w:rPr>
        <w:t xml:space="preserve"> 6).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bidi w:val="1"/>
        <w:spacing w:after="160" w:line="259.20000000000005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hd w:fill="ffffff" w:val="clear"/>
        <w:bidi w:val="1"/>
        <w:ind w:right="720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תרשים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לתיאור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היישום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הסטנדרטים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בתכניות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הבית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-</w:t>
      </w:r>
      <w:r w:rsidDel="00000000" w:rsidR="00000000" w:rsidRPr="00000000">
        <w:rPr>
          <w:b w:val="1"/>
          <w:color w:val="333333"/>
          <w:sz w:val="24"/>
          <w:szCs w:val="24"/>
          <w:rtl w:val="1"/>
        </w:rPr>
        <w:t xml:space="preserve">ספריות</w:t>
      </w:r>
    </w:p>
    <w:p w:rsidR="00000000" w:rsidDel="00000000" w:rsidP="00000000" w:rsidRDefault="00000000" w:rsidRPr="00000000" w14:paraId="0000000F">
      <w:pPr>
        <w:pageBreakBefore w:val="0"/>
        <w:shd w:fill="ffffff" w:val="clear"/>
        <w:bidi w:val="1"/>
        <w:jc w:val="both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</w:rPr>
        <w:drawing>
          <wp:inline distB="114300" distT="114300" distL="114300" distR="114300">
            <wp:extent cx="4508500" cy="6921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692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20" Type="http://schemas.openxmlformats.org/officeDocument/2006/relationships/hyperlink" Target="https://apps.education.gov.il/mankal/horaa.aspx?siduri=341#_Toc256000118" TargetMode="External"/><Relationship Id="rId41" Type="http://schemas.openxmlformats.org/officeDocument/2006/relationships/image" Target="media/image1.png"/><Relationship Id="rId22" Type="http://schemas.openxmlformats.org/officeDocument/2006/relationships/hyperlink" Target="https://apps.education.gov.il/mankal/horaa.aspx?siduri=341#_Toc256000118" TargetMode="External"/><Relationship Id="rId21" Type="http://schemas.openxmlformats.org/officeDocument/2006/relationships/hyperlink" Target="https://apps.education.gov.il/mankal/horaa.aspx?siduri=341#_Toc256000118" TargetMode="External"/><Relationship Id="rId24" Type="http://schemas.openxmlformats.org/officeDocument/2006/relationships/hyperlink" Target="https://apps.education.gov.il/mankal/horaa.aspx?siduri=341#_Toc256000118" TargetMode="External"/><Relationship Id="rId23" Type="http://schemas.openxmlformats.org/officeDocument/2006/relationships/hyperlink" Target="https://apps.education.gov.il/mankal/horaa.aspx?siduri=341#_Toc25600011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s.education.gov.il/mankal/horaa.aspx?siduri=341#_Toc256000118" TargetMode="External"/><Relationship Id="rId26" Type="http://schemas.openxmlformats.org/officeDocument/2006/relationships/hyperlink" Target="https://apps.education.gov.il/mankal/horaa.aspx?siduri=341#_Toc256000118" TargetMode="External"/><Relationship Id="rId25" Type="http://schemas.openxmlformats.org/officeDocument/2006/relationships/hyperlink" Target="https://apps.education.gov.il/mankal/horaa.aspx?siduri=341#_Toc256000118" TargetMode="External"/><Relationship Id="rId28" Type="http://schemas.openxmlformats.org/officeDocument/2006/relationships/hyperlink" Target="https://apps.education.gov.il/mankal/horaa.aspx?siduri=341#_Toc256000118" TargetMode="External"/><Relationship Id="rId27" Type="http://schemas.openxmlformats.org/officeDocument/2006/relationships/hyperlink" Target="https://apps.education.gov.il/mankal/horaa.aspx?siduri=341#_Toc256000118" TargetMode="External"/><Relationship Id="rId5" Type="http://schemas.openxmlformats.org/officeDocument/2006/relationships/styles" Target="styles.xml"/><Relationship Id="rId6" Type="http://schemas.openxmlformats.org/officeDocument/2006/relationships/hyperlink" Target="https://apps.education.gov.il/mankal/horaa.aspx?siduri=341#_Toc256000118" TargetMode="External"/><Relationship Id="rId29" Type="http://schemas.openxmlformats.org/officeDocument/2006/relationships/hyperlink" Target="https://apps.education.gov.il/mankal/horaa.aspx?siduri=341#_Toc256000118" TargetMode="External"/><Relationship Id="rId7" Type="http://schemas.openxmlformats.org/officeDocument/2006/relationships/hyperlink" Target="https://apps.education.gov.il/mankal/horaa.aspx?siduri=341#_Toc256000118" TargetMode="External"/><Relationship Id="rId8" Type="http://schemas.openxmlformats.org/officeDocument/2006/relationships/hyperlink" Target="https://apps.education.gov.il/mankal/horaa.aspx?siduri=341#_Toc256000118" TargetMode="External"/><Relationship Id="rId31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30" Type="http://schemas.openxmlformats.org/officeDocument/2006/relationships/hyperlink" Target="https://apps.education.gov.il/mankal/horaa.aspx?siduri=341#_Toc256000118" TargetMode="External"/><Relationship Id="rId11" Type="http://schemas.openxmlformats.org/officeDocument/2006/relationships/hyperlink" Target="https://apps.education.gov.il/mankal/horaa.aspx?siduri=341#_Toc256000118" TargetMode="External"/><Relationship Id="rId33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10" Type="http://schemas.openxmlformats.org/officeDocument/2006/relationships/hyperlink" Target="https://apps.education.gov.il/mankal/horaa.aspx?siduri=341#_Toc256000118" TargetMode="External"/><Relationship Id="rId32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13" Type="http://schemas.openxmlformats.org/officeDocument/2006/relationships/hyperlink" Target="https://apps.education.gov.il/mankal/horaa.aspx?siduri=341#_Toc256000118" TargetMode="External"/><Relationship Id="rId35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12" Type="http://schemas.openxmlformats.org/officeDocument/2006/relationships/hyperlink" Target="https://apps.education.gov.il/mankal/horaa.aspx?siduri=341#_Toc256000118" TargetMode="External"/><Relationship Id="rId34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15" Type="http://schemas.openxmlformats.org/officeDocument/2006/relationships/hyperlink" Target="https://apps.education.gov.il/mankal/horaa.aspx?siduri=341#_Toc256000118" TargetMode="External"/><Relationship Id="rId37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14" Type="http://schemas.openxmlformats.org/officeDocument/2006/relationships/hyperlink" Target="https://apps.education.gov.il/mankal/horaa.aspx?siduri=341#_Toc256000118" TargetMode="External"/><Relationship Id="rId36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17" Type="http://schemas.openxmlformats.org/officeDocument/2006/relationships/hyperlink" Target="https://apps.education.gov.il/mankal/horaa.aspx?siduri=341#_Toc256000118" TargetMode="External"/><Relationship Id="rId39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16" Type="http://schemas.openxmlformats.org/officeDocument/2006/relationships/hyperlink" Target="https://apps.education.gov.il/mankal/horaa.aspx?siduri=341#_Toc256000118" TargetMode="External"/><Relationship Id="rId38" Type="http://schemas.openxmlformats.org/officeDocument/2006/relationships/hyperlink" Target="http://cms.education.gov.il/EducationCMS/Applications/Mankal/Templates/HoraotKevaFreeContent.aspx?NRMODE=Published&amp;NRNODEGUID=%7b800F1478-FB26-47FB-AF5C-EB767F3086DD%7d&amp;NRORIGINALURL=%2fEducationCMS%2fApplications%2fMankal%2fEtsMedorim%2f5%2f5-1%2fHoraotKeva%2fK-2014-7-1-5-1-54%2ehtm&amp;NRCACHEHINT=Guest#3.6" TargetMode="External"/><Relationship Id="rId19" Type="http://schemas.openxmlformats.org/officeDocument/2006/relationships/hyperlink" Target="https://apps.education.gov.il/mankal/horaa.aspx?siduri=341#_Toc256000118" TargetMode="External"/><Relationship Id="rId18" Type="http://schemas.openxmlformats.org/officeDocument/2006/relationships/hyperlink" Target="https://apps.education.gov.il/mankal/horaa.aspx?siduri=341#_Toc256000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