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/>
      </w:pPr>
      <w:hyperlink r:id="rId6">
        <w:r w:rsidDel="00000000" w:rsidR="00000000" w:rsidRPr="00000000">
          <w:rPr>
            <w:color w:val="1155cc"/>
            <w:u w:val="single"/>
            <w:rtl w:val="1"/>
          </w:rPr>
          <w:t xml:space="preserve">לנווט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בסערה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- </w:t>
        </w:r>
      </w:hyperlink>
      <w:hyperlink r:id="rId10">
        <w:r w:rsidDel="00000000" w:rsidR="00000000" w:rsidRPr="00000000">
          <w:rPr>
            <w:color w:val="1155cc"/>
            <w:u w:val="single"/>
            <w:rtl w:val="1"/>
          </w:rPr>
          <w:t xml:space="preserve">עמוס</w:t>
        </w:r>
      </w:hyperlink>
      <w:hyperlink r:id="rId1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1"/>
          </w:rPr>
          <w:t xml:space="preserve">רולידר</w:t>
        </w:r>
      </w:hyperlink>
      <w:hyperlink r:id="rId1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1"/>
          </w:rPr>
          <w:t xml:space="preserve">ומיטל</w:t>
        </w:r>
      </w:hyperlink>
      <w:hyperlink r:id="rId1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1"/>
          </w:rPr>
          <w:t xml:space="preserve">אוחיון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עמוס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רולידר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אוחיון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line="384.00000000000006" w:lineRule="auto"/>
        <w:rPr/>
      </w:pP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מדאיגים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ובהפסקות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מתמיד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עמוס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רולידר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אוחיון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ההפרעות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731200" cy="3187700"/>
            <wp:effectExtent b="0" l="0" r="0" t="0"/>
            <wp:docPr descr="shutterstock_303878834" id="1" name="image1.jpg"/>
            <a:graphic>
              <a:graphicData uri="http://schemas.openxmlformats.org/drawingml/2006/picture">
                <pic:pic>
                  <pic:nvPicPr>
                    <pic:cNvPr descr="shutterstock_303878834"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0" w:before="0" w:line="312" w:lineRule="auto"/>
        <w:rPr>
          <w:sz w:val="36"/>
          <w:szCs w:val="36"/>
        </w:rPr>
      </w:pPr>
      <w:bookmarkStart w:colFirst="0" w:colLast="0" w:name="_7p6dfxvlnssy" w:id="0"/>
      <w:bookmarkEnd w:id="0"/>
      <w:r w:rsidDel="00000000" w:rsidR="00000000" w:rsidRPr="00000000">
        <w:rPr>
          <w:sz w:val="36"/>
          <w:szCs w:val="36"/>
          <w:rtl w:val="1"/>
        </w:rPr>
        <w:t xml:space="preserve">תוכן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הנתונים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מדאיגים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רמת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האלימות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ובעיות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המשמעת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בשיעורים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ובהפסקות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גבוהות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מתמיד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מוגנים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מתקשים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לנהל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שיעור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פרופ</w:t>
      </w:r>
      <w:r w:rsidDel="00000000" w:rsidR="00000000" w:rsidRPr="00000000">
        <w:rPr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עמוס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רולידר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ומיטל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אוחיון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מספקים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למורה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הנבוך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מדריך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מפורט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לניהול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כיתה</w:t>
      </w:r>
      <w:r w:rsidDel="00000000" w:rsidR="00000000" w:rsidRPr="00000000">
        <w:rPr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ואחרי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ההפרעות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המודעות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בהפחתת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במוסדות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והמאמצים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השוררת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נותרה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ומדאיגה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מעיון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בממצאי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שסקרו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ממדיה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התופעה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־90 </w:t>
      </w:r>
      <w:r w:rsidDel="00000000" w:rsidR="00000000" w:rsidRPr="00000000">
        <w:rPr>
          <w:sz w:val="24"/>
          <w:szCs w:val="24"/>
          <w:rtl w:val="1"/>
        </w:rPr>
        <w:t xml:space="preserve">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ההצקה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והבריונות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נשארה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ומשפיעה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המוגנות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הורוביץ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ופרנקל</w:t>
      </w:r>
      <w:r w:rsidDel="00000000" w:rsidR="00000000" w:rsidRPr="00000000">
        <w:rPr>
          <w:sz w:val="24"/>
          <w:szCs w:val="24"/>
          <w:rtl w:val="1"/>
        </w:rPr>
        <w:t xml:space="preserve"> 1990, </w:t>
      </w:r>
      <w:r w:rsidDel="00000000" w:rsidR="00000000" w:rsidRPr="00000000">
        <w:rPr>
          <w:sz w:val="24"/>
          <w:szCs w:val="24"/>
          <w:rtl w:val="1"/>
        </w:rPr>
        <w:t xml:space="preserve">הראל</w:t>
      </w:r>
      <w:r w:rsidDel="00000000" w:rsidR="00000000" w:rsidRPr="00000000">
        <w:rPr>
          <w:sz w:val="24"/>
          <w:szCs w:val="24"/>
          <w:rtl w:val="1"/>
        </w:rPr>
        <w:t xml:space="preserve"> 1997, </w:t>
      </w:r>
      <w:r w:rsidDel="00000000" w:rsidR="00000000" w:rsidRPr="00000000">
        <w:rPr>
          <w:sz w:val="24"/>
          <w:szCs w:val="24"/>
          <w:rtl w:val="1"/>
        </w:rPr>
        <w:t xml:space="preserve">דגני</w:t>
      </w:r>
      <w:r w:rsidDel="00000000" w:rsidR="00000000" w:rsidRPr="00000000">
        <w:rPr>
          <w:sz w:val="24"/>
          <w:szCs w:val="24"/>
          <w:rtl w:val="1"/>
        </w:rPr>
        <w:t xml:space="preserve"> 1998, </w:t>
      </w:r>
      <w:r w:rsidDel="00000000" w:rsidR="00000000" w:rsidRPr="00000000">
        <w:rPr>
          <w:sz w:val="24"/>
          <w:szCs w:val="24"/>
          <w:rtl w:val="1"/>
        </w:rPr>
        <w:t xml:space="preserve">רולידר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לפידות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ולוי</w:t>
      </w:r>
      <w:r w:rsidDel="00000000" w:rsidR="00000000" w:rsidRPr="00000000">
        <w:rPr>
          <w:sz w:val="24"/>
          <w:szCs w:val="24"/>
          <w:rtl w:val="1"/>
        </w:rPr>
        <w:t xml:space="preserve"> 2000, </w:t>
      </w:r>
      <w:r w:rsidDel="00000000" w:rsidR="00000000" w:rsidRPr="00000000">
        <w:rPr>
          <w:sz w:val="24"/>
          <w:szCs w:val="24"/>
          <w:rtl w:val="0"/>
        </w:rPr>
        <w:t xml:space="preserve">Rolider</w:t>
      </w:r>
      <w:r w:rsidDel="00000000" w:rsidR="00000000" w:rsidRPr="00000000">
        <w:rPr>
          <w:sz w:val="24"/>
          <w:szCs w:val="24"/>
          <w:rtl w:val="0"/>
        </w:rPr>
        <w:t xml:space="preserve"> &amp; </w:t>
      </w:r>
      <w:r w:rsidDel="00000000" w:rsidR="00000000" w:rsidRPr="00000000">
        <w:rPr>
          <w:sz w:val="24"/>
          <w:szCs w:val="24"/>
          <w:rtl w:val="0"/>
        </w:rPr>
        <w:t xml:space="preserve">Ochayon</w:t>
      </w:r>
      <w:r w:rsidDel="00000000" w:rsidR="00000000" w:rsidRPr="00000000">
        <w:rPr>
          <w:sz w:val="24"/>
          <w:szCs w:val="24"/>
          <w:rtl w:val="1"/>
        </w:rPr>
        <w:t xml:space="preserve">, 2005, </w:t>
      </w:r>
      <w:r w:rsidDel="00000000" w:rsidR="00000000" w:rsidRPr="00000000">
        <w:rPr>
          <w:sz w:val="24"/>
          <w:szCs w:val="24"/>
          <w:rtl w:val="1"/>
        </w:rPr>
        <w:t xml:space="preserve">בנבנישתי</w:t>
      </w:r>
      <w:r w:rsidDel="00000000" w:rsidR="00000000" w:rsidRPr="00000000">
        <w:rPr>
          <w:sz w:val="24"/>
          <w:szCs w:val="24"/>
          <w:rtl w:val="1"/>
        </w:rPr>
        <w:t xml:space="preserve"> 2006, </w:t>
      </w:r>
      <w:r w:rsidDel="00000000" w:rsidR="00000000" w:rsidRPr="00000000">
        <w:rPr>
          <w:sz w:val="24"/>
          <w:szCs w:val="24"/>
          <w:rtl w:val="1"/>
        </w:rPr>
        <w:t xml:space="preserve">ראובני</w:t>
      </w:r>
      <w:r w:rsidDel="00000000" w:rsidR="00000000" w:rsidRPr="00000000">
        <w:rPr>
          <w:sz w:val="24"/>
          <w:szCs w:val="24"/>
          <w:rtl w:val="1"/>
        </w:rPr>
        <w:t xml:space="preserve"> 2006). </w:t>
      </w:r>
      <w:r w:rsidDel="00000000" w:rsidR="00000000" w:rsidRPr="00000000">
        <w:rPr>
          <w:sz w:val="24"/>
          <w:szCs w:val="24"/>
          <w:rtl w:val="1"/>
        </w:rPr>
        <w:t xml:space="preserve">מחקרים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השכיחות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הפחתת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האקלים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והמוגנות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בסביבות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שוהים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לדוגמה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רולידר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וחבריו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־1,800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המוגנות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sz w:val="24"/>
          <w:szCs w:val="24"/>
          <w:rtl w:val="1"/>
        </w:rPr>
        <w:t xml:space="preserve">־37% </w:t>
      </w:r>
      <w:r w:rsidDel="00000000" w:rsidR="00000000" w:rsidRPr="00000000">
        <w:rPr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הרגישו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בשירותים</w:t>
      </w:r>
      <w:r w:rsidDel="00000000" w:rsidR="00000000" w:rsidRPr="00000000">
        <w:rPr>
          <w:sz w:val="24"/>
          <w:szCs w:val="24"/>
          <w:rtl w:val="1"/>
        </w:rPr>
        <w:t xml:space="preserve">, 41% </w:t>
      </w:r>
      <w:r w:rsidDel="00000000" w:rsidR="00000000" w:rsidRPr="00000000">
        <w:rPr>
          <w:sz w:val="24"/>
          <w:szCs w:val="24"/>
          <w:rtl w:val="1"/>
        </w:rPr>
        <w:t xml:space="preserve">דיווחו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בחצרות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־35% </w:t>
      </w:r>
      <w:r w:rsidDel="00000000" w:rsidR="00000000" w:rsidRPr="00000000">
        <w:rPr>
          <w:sz w:val="24"/>
          <w:szCs w:val="24"/>
          <w:rtl w:val="1"/>
        </w:rPr>
        <w:t xml:space="preserve">דיווחו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ועוצמתה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דיפרנציאליים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והושפעו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ניכרת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סביבתיים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הנלמד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ובייחוד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תרשים</w:t>
      </w:r>
      <w:r w:rsidDel="00000000" w:rsidR="00000000" w:rsidRPr="00000000">
        <w:rPr>
          <w:sz w:val="24"/>
          <w:szCs w:val="24"/>
          <w:rtl w:val="1"/>
        </w:rPr>
        <w:t xml:space="preserve"> 1 </w:t>
      </w:r>
      <w:r w:rsidDel="00000000" w:rsidR="00000000" w:rsidRPr="00000000">
        <w:rPr>
          <w:sz w:val="24"/>
          <w:szCs w:val="24"/>
          <w:rtl w:val="1"/>
        </w:rPr>
        <w:t xml:space="preserve">מתעד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הלומד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אצל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תצפיות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שנערכו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נאספו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האנטי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חברתית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התפלגות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דיפרנציאליות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בשיעורים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נצפו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־70 </w:t>
      </w:r>
      <w:r w:rsidDel="00000000" w:rsidR="00000000" w:rsidRPr="00000000">
        <w:rPr>
          <w:sz w:val="24"/>
          <w:szCs w:val="24"/>
          <w:rtl w:val="1"/>
        </w:rPr>
        <w:t xml:space="preserve">אפיזודות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1.4 </w:t>
      </w:r>
      <w:r w:rsidDel="00000000" w:rsidR="00000000" w:rsidRPr="00000000">
        <w:rPr>
          <w:sz w:val="24"/>
          <w:szCs w:val="24"/>
          <w:rtl w:val="1"/>
        </w:rPr>
        <w:t xml:space="preserve">לדקה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לעומת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חקלאות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נצפו</w:t>
      </w:r>
      <w:r w:rsidDel="00000000" w:rsidR="00000000" w:rsidRPr="00000000">
        <w:rPr>
          <w:sz w:val="24"/>
          <w:szCs w:val="24"/>
          <w:rtl w:val="1"/>
        </w:rPr>
        <w:t xml:space="preserve"> 40 </w:t>
      </w:r>
      <w:r w:rsidDel="00000000" w:rsidR="00000000" w:rsidRPr="00000000">
        <w:rPr>
          <w:sz w:val="24"/>
          <w:szCs w:val="24"/>
          <w:rtl w:val="1"/>
        </w:rPr>
        <w:t xml:space="preserve">אפיזודות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בתנ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ך</w:t>
      </w:r>
      <w:r w:rsidDel="00000000" w:rsidR="00000000" w:rsidRPr="00000000">
        <w:rPr>
          <w:sz w:val="24"/>
          <w:szCs w:val="24"/>
          <w:rtl w:val="1"/>
        </w:rPr>
        <w:t xml:space="preserve"> – 25 </w:t>
      </w:r>
      <w:r w:rsidDel="00000000" w:rsidR="00000000" w:rsidRPr="00000000">
        <w:rPr>
          <w:sz w:val="24"/>
          <w:szCs w:val="24"/>
          <w:rtl w:val="1"/>
        </w:rPr>
        <w:t xml:space="preserve">ואילו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בחשבון</w:t>
      </w:r>
      <w:r w:rsidDel="00000000" w:rsidR="00000000" w:rsidRPr="00000000">
        <w:rPr>
          <w:sz w:val="24"/>
          <w:szCs w:val="24"/>
          <w:rtl w:val="1"/>
        </w:rPr>
        <w:t xml:space="preserve"> – 5 </w:t>
      </w:r>
      <w:r w:rsidDel="00000000" w:rsidR="00000000" w:rsidRPr="00000000">
        <w:rPr>
          <w:sz w:val="24"/>
          <w:szCs w:val="24"/>
          <w:rtl w:val="1"/>
        </w:rPr>
        <w:t xml:space="preserve">אפיזודות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אנטי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חברתית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ממחקרים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סאלד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לרצונם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להפסיק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ללמד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פתורות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מיפויים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שעשינו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האחרון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המתקשים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מההפסקה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נגזלות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השוררת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היטב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המחקרית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והפסיכולוגיה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הבולטים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והחשובים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נוהגים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עיקריות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האחת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פעילויות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ומטרתן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השנייה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מכוונת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נסקור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בפירוט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בספרות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למשפיעות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המושג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כיתה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העיקריות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יישומן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ונתאר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והתחשבות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לבסוף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חבריהם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רכוש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בעזרתן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מיטבי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הפוטנציאל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במורה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בתלמידים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לארגן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המעודדת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ומונעת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בעייתיות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החל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בהפרעות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חוזרות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ונשנות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בהצלחה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מונעות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הפרעות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מתרחשים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מושפעים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המקדימים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ביכולתם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להפחית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להתרחשותם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ביכולתו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שבכוחן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לתרום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לאווירת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ולהפחתת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הקשורות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באקולוגיית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המרחב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הפיזי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הכיתתי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אסתטיקה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כיתתית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שמירה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והקפדה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הכוללת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למעילים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סידורי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קביעת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סידורי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בלעדית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מחנך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ולהתבסס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פדגוגי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ומהירה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ומינימום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גירויי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סידור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סידור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לקריטריונים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מיקומם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המאתגרים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הכיתתי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קביעת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סידורי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המציגים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אסטרטגיה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חינוכית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הכיתתי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להושיב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בקדמת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ובמרכזה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הושבתם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מפחיתה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ומקלה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לחזקם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לזהות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הופעתם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להגיב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ולהפחית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ניכרת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ההסחה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ותנועת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להנחת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הציוד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מאחורי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בישיבה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הקשורות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בהכנה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מנטלית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ורגשית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לקראת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תהליך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הלמידה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שיחה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המתייחסות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־(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ההתרחשות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מגבירה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בהצלחה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ממוקדת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במונחים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אופרטיביים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תרשים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מציג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בתחילתו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ריבוע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הקסם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מתייחסת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למטרת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הזמן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תרשים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2: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מהותיים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ודיון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רגליים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סיבות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שאינן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חפץ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לחבר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ומהם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מותרת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ודיון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להבהיר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תחילתה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דיון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חופשי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כדאי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באמירה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בהצבעה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ואז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לציפיות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שהצביע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ההצבעה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הידיים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להסתכל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הדובר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ולהקשיב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להתעלם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להפסיקה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באסרטיביות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הצביע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קודמת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שהתפרץ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הנכונה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שומעת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"),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ברשות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להימנע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התפרצות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להבא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בהצבעה</w:t>
      </w:r>
      <w:r w:rsidDel="00000000" w:rsidR="00000000" w:rsidRPr="00000000">
        <w:rPr>
          <w:sz w:val="24"/>
          <w:szCs w:val="24"/>
          <w:rtl w:val="1"/>
        </w:rPr>
        <w:t xml:space="preserve">").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מאתגרים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שנכשלו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מקטינה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להופעתן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תסכול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משמעותה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לגיטימציה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הצפוי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להפתעה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ניטרלי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מאופיין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המאתגר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הקשורות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באינטראקציה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המורה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התלמידים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מעודדת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ומשבחת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הפגנת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ההנחה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ששבח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ועידוד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מגבירים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בעתיד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אסטרטגיה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מנזיפה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העקרונות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לנתינת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מבוססים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מובנת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שולית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להקפיד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קרוב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להתנהגות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ספציפיו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נפלא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מעמיקה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ויסודית</w:t>
      </w:r>
      <w:r w:rsidDel="00000000" w:rsidR="00000000" w:rsidRPr="00000000">
        <w:rPr>
          <w:sz w:val="24"/>
          <w:szCs w:val="24"/>
          <w:rtl w:val="1"/>
        </w:rPr>
        <w:t xml:space="preserve">"),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עקיבות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התאמה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הדיפרנציאליות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שעשויה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בשבח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ובעידוד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שלנו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אמצעי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הפחתה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לעודד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לדוגמה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חופשית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עידוד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הפרטנית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לביצועיו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לביצועיה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הקבוצתיים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העשייה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החינוכית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יוצרת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הדורשים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יגיבו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להקפיד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ההנחיה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קריאה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ספציפית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וברורה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הוספת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מוטורי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ההנחיה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קח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העיפרון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</w:t>
      </w:r>
      <w:r w:rsidDel="00000000" w:rsidR="00000000" w:rsidRPr="00000000">
        <w:rPr>
          <w:sz w:val="24"/>
          <w:szCs w:val="24"/>
          <w:rtl w:val="1"/>
        </w:rPr>
        <w:t xml:space="preserve">"), </w:t>
      </w:r>
      <w:r w:rsidDel="00000000" w:rsidR="00000000" w:rsidRPr="00000000">
        <w:rPr>
          <w:sz w:val="24"/>
          <w:szCs w:val="24"/>
          <w:rtl w:val="1"/>
        </w:rPr>
        <w:t xml:space="preserve">ושמירה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ובמהלכה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להימנע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מניסוח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וצליל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אכפת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?"),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לדבריכם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לצעוק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…</w:t>
      </w:r>
      <w:r w:rsidDel="00000000" w:rsidR="00000000" w:rsidRPr="00000000">
        <w:rPr>
          <w:sz w:val="24"/>
          <w:szCs w:val="24"/>
          <w:rtl w:val="1"/>
        </w:rPr>
        <w:t xml:space="preserve">אז</w:t>
      </w:r>
      <w:r w:rsidDel="00000000" w:rsidR="00000000" w:rsidRPr="00000000">
        <w:rPr>
          <w:sz w:val="24"/>
          <w:szCs w:val="24"/>
          <w:rtl w:val="1"/>
        </w:rPr>
        <w:t xml:space="preserve">" ("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תזדרזו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"),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להנחיה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אתה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שביקשתי</w:t>
      </w:r>
      <w:r w:rsidDel="00000000" w:rsidR="00000000" w:rsidRPr="00000000">
        <w:rPr>
          <w:sz w:val="24"/>
          <w:szCs w:val="24"/>
          <w:rtl w:val="1"/>
        </w:rPr>
        <w:t xml:space="preserve">?"),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הזדמנות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ואז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הגישו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סיוע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וידוא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לוודא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ההנחה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שווידוא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מסייע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בהבטחת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ובהגברת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לוודא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במילותיו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הנאמר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לדוגמה</w:t>
      </w:r>
      <w:r w:rsidDel="00000000" w:rsidR="00000000" w:rsidRPr="00000000">
        <w:rPr>
          <w:sz w:val="24"/>
          <w:szCs w:val="24"/>
          <w:rtl w:val="1"/>
        </w:rPr>
        <w:t xml:space="preserve">: "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בטוחים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שהבנו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היטב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אנא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המשימה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להימנע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בנוסח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כולם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הבינו</w:t>
      </w:r>
      <w:r w:rsidDel="00000000" w:rsidR="00000000" w:rsidRPr="00000000">
        <w:rPr>
          <w:sz w:val="24"/>
          <w:szCs w:val="24"/>
          <w:rtl w:val="1"/>
        </w:rPr>
        <w:t xml:space="preserve">?",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נאמנה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מיומנות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תסכול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במינונים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ואחרים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רגיש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ומותאם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חינוכי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ותסכול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עשייה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שיסייעו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התסכול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אופרטיבית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למשל</w:t>
      </w:r>
      <w:r w:rsidDel="00000000" w:rsidR="00000000" w:rsidRPr="00000000">
        <w:rPr>
          <w:sz w:val="24"/>
          <w:szCs w:val="24"/>
          <w:rtl w:val="1"/>
        </w:rPr>
        <w:t xml:space="preserve">: "</w:t>
      </w:r>
      <w:r w:rsidDel="00000000" w:rsidR="00000000" w:rsidRPr="00000000">
        <w:rPr>
          <w:sz w:val="24"/>
          <w:szCs w:val="24"/>
          <w:rtl w:val="1"/>
        </w:rPr>
        <w:t xml:space="preserve">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בסוף</w:t>
      </w:r>
      <w:r w:rsidDel="00000000" w:rsidR="00000000" w:rsidRPr="00000000">
        <w:rPr>
          <w:sz w:val="24"/>
          <w:szCs w:val="24"/>
          <w:rtl w:val="1"/>
        </w:rPr>
        <w:t xml:space="preserve">"; "</w:t>
      </w:r>
      <w:r w:rsidDel="00000000" w:rsidR="00000000" w:rsidRPr="00000000">
        <w:rPr>
          <w:sz w:val="24"/>
          <w:szCs w:val="24"/>
          <w:rtl w:val="1"/>
        </w:rPr>
        <w:t xml:space="preserve">בקש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לצדך</w:t>
      </w:r>
      <w:r w:rsidDel="00000000" w:rsidR="00000000" w:rsidRPr="00000000">
        <w:rPr>
          <w:sz w:val="24"/>
          <w:szCs w:val="24"/>
          <w:rtl w:val="1"/>
        </w:rPr>
        <w:t xml:space="preserve">"; "</w:t>
      </w:r>
      <w:r w:rsidDel="00000000" w:rsidR="00000000" w:rsidRPr="00000000">
        <w:rPr>
          <w:sz w:val="24"/>
          <w:szCs w:val="24"/>
          <w:rtl w:val="1"/>
        </w:rPr>
        <w:t xml:space="preserve">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בעמוד</w:t>
      </w:r>
      <w:r w:rsidDel="00000000" w:rsidR="00000000" w:rsidRPr="00000000">
        <w:rPr>
          <w:sz w:val="24"/>
          <w:szCs w:val="24"/>
          <w:rtl w:val="1"/>
        </w:rPr>
        <w:t xml:space="preserve">…"; "</w:t>
      </w:r>
      <w:r w:rsidDel="00000000" w:rsidR="00000000" w:rsidRPr="00000000">
        <w:rPr>
          <w:sz w:val="24"/>
          <w:szCs w:val="24"/>
          <w:rtl w:val="1"/>
        </w:rPr>
        <w:t xml:space="preserve">הרם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למורה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מסייעת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בהפחתת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יגיב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הקושי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הקשורות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במבנה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השיעור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קביעת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ולסיומו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בשגרות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ובסימנים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לפתיחה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מגדיל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לדוגמה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בתחילתו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הצלצול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מכריזים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: "</w:t>
      </w:r>
      <w:r w:rsidDel="00000000" w:rsidR="00000000" w:rsidRPr="00000000">
        <w:rPr>
          <w:sz w:val="24"/>
          <w:szCs w:val="24"/>
          <w:rtl w:val="1"/>
        </w:rPr>
        <w:t xml:space="preserve">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אנגלית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הדרושות</w:t>
      </w:r>
      <w:r w:rsidDel="00000000" w:rsidR="00000000" w:rsidRPr="00000000">
        <w:rPr>
          <w:sz w:val="24"/>
          <w:szCs w:val="24"/>
          <w:rtl w:val="1"/>
        </w:rPr>
        <w:t xml:space="preserve">" (</w:t>
      </w:r>
      <w:r w:rsidDel="00000000" w:rsidR="00000000" w:rsidRPr="00000000">
        <w:rPr>
          <w:sz w:val="24"/>
          <w:szCs w:val="24"/>
          <w:rtl w:val="1"/>
        </w:rPr>
        <w:t xml:space="preserve">הוצאת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המחברות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לבדיקת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</w:t>
      </w:r>
      <w:r w:rsidDel="00000000" w:rsidR="00000000" w:rsidRPr="00000000">
        <w:rPr>
          <w:sz w:val="24"/>
          <w:szCs w:val="24"/>
          <w:rtl w:val="1"/>
        </w:rPr>
        <w:t xml:space="preserve">,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סידור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וניקיון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הישיבה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חמש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הצלצול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מפסיק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מסכם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שנלמד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בודק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וקשיים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ומוודא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ביומן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צמצום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זמני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לפעילות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זמני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בנושאים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מגדילים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משימתיות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ולכן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לצמצם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הגברת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הפעילה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אסטרטגיות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המבוססות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מקטינות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עסוקים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אקדמית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המותאמת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יכולתם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הסבירות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להתעסקות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ניכרת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קריאה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חיפוש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באטלס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המנוגד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הפרעות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המתרחשת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בשכיחות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הצבעה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לעתים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מתפרצים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ובניגוד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התפרצויות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מפריעות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והיעדרן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ואיפוק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התפרצויות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מתפתחות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ולצעקות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המשבשים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ומפריעים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להקשיב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וללמוד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התבוננות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בניסיונם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הבעיה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הדרושות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בסבלנות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תכופות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נותנים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לגיטימציה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התייחסותם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שנאמרו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לעתים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ומשבחים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התוצאה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נמנעת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סקר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שעוסק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וההתנסות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הקלינית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לחנך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התפרצות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בתרשים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מפורטים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התפרצויות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בהמלצות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מגדיל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ניכרת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ולשמרה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חמורות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במיוחד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במהלך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השיעור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מחייבת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פיזית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מילולית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לחברו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ביטויי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חוצפה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מבטאות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חציית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קווים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אדומים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שתביא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להפסקתם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חזרתם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מחייבת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מחנכים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המכונות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לאלימות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לחוצפה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ולחבלה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לשבת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מהרצפה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להנמיך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קולו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לשכנע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בעיניו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לדעתנו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המסוכנת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סירובו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הנחיותיו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אובדן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ראויה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יושפע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מנוכחות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ומהוראותיו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ויתנהג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הסובבים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יצליח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לשלוט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להבטיח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הפיזי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מופקד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ולהגבה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מפגין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פירוט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אופרטיבי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מרכיבי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הנחשבות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פירוט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ספציפי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מתלמידיו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הפגין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כזאת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הבאת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תרשים</w:t>
      </w:r>
      <w:r w:rsidDel="00000000" w:rsidR="00000000" w:rsidRPr="00000000">
        <w:rPr>
          <w:sz w:val="24"/>
          <w:szCs w:val="24"/>
          <w:rtl w:val="1"/>
        </w:rPr>
        <w:t xml:space="preserve"> 4 </w:t>
      </w:r>
      <w:r w:rsidDel="00000000" w:rsidR="00000000" w:rsidRPr="00000000">
        <w:rPr>
          <w:sz w:val="24"/>
          <w:szCs w:val="24"/>
          <w:rtl w:val="1"/>
        </w:rPr>
        <w:t xml:space="preserve">מביא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דוגמאות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אופרטיבית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המהוות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והמחייבות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ספרית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ביצוען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מחייב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ותיאום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מרביים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השאר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הכנסת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אמצעים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איתורית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אמצעי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תקשורת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להודיע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למזכירות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הנחשבת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"; </w:t>
      </w:r>
      <w:r w:rsidDel="00000000" w:rsidR="00000000" w:rsidRPr="00000000">
        <w:rPr>
          <w:sz w:val="24"/>
          <w:szCs w:val="24"/>
          <w:rtl w:val="1"/>
        </w:rPr>
        <w:t xml:space="preserve">היערכות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הנהלה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שיסייעו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המפגין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החמורה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המחייב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תמונה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פסק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זמן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לסיכום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</w:t>
      </w:r>
      <w:r w:rsidDel="00000000" w:rsidR="00000000" w:rsidRPr="00000000">
        <w:rPr>
          <w:sz w:val="24"/>
          <w:szCs w:val="24"/>
          <w:rtl w:val="1"/>
        </w:rPr>
        <w:t xml:space="preserve">ּ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מתרחש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מחקרים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ועוצמת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המערכתית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מהנהגת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ומעמיתיו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העיקריים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הלימודית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בכיתה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עיקריות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האחת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פעילויות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ומטרתן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השנייה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המכוונת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הישנותן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המעידות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כוללות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סידורי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הולמים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הושבת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המאתגרים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בקדמת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לתחילה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צפוי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לנהוג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תסכול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וקושי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והנחיה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הקטנת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והגדלת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התרחשותן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כוללות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שיטתי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חלופיות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היעדרן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איפוק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והבלגה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הקניה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ומיסוד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הצבעה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התעלמות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מופגנת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מהפרעות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שוליות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שמטרתן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נזיפה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המערכתית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גבולות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סיוע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מהנהגת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בהפעלת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שילוב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האלמנטים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שהוצגו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במאמר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מבטיחים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ושקטה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בשיעור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כבוד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התחשבות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מיטבית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פרופ</w:t>
      </w:r>
      <w:r w:rsidDel="00000000" w:rsidR="00000000" w:rsidRPr="00000000">
        <w:rPr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עמוס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רולידר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ומיטל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אוחיון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חוקרים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במכון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לחקר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ולמניעת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אנטי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־</w:t>
      </w:r>
      <w:r w:rsidDel="00000000" w:rsidR="00000000" w:rsidRPr="00000000">
        <w:rPr>
          <w:b w:val="1"/>
          <w:sz w:val="24"/>
          <w:szCs w:val="24"/>
          <w:rtl w:val="1"/>
        </w:rPr>
        <w:t xml:space="preserve">חברתית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במכללה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האקדמית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עמק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יזרעאל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0" w:before="0" w:line="312" w:lineRule="auto"/>
        <w:rPr>
          <w:sz w:val="36"/>
          <w:szCs w:val="36"/>
        </w:rPr>
      </w:pPr>
      <w:bookmarkStart w:colFirst="0" w:colLast="0" w:name="_y55qzggk7d4a" w:id="1"/>
      <w:bookmarkEnd w:id="1"/>
      <w:r w:rsidDel="00000000" w:rsidR="00000000" w:rsidRPr="00000000">
        <w:rPr>
          <w:sz w:val="36"/>
          <w:szCs w:val="36"/>
          <w:rtl w:val="1"/>
        </w:rPr>
        <w:t xml:space="preserve">ביבליוגרפיה</w:t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פרופ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עמוס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רולידר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אוחיון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לנווט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בסערה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אוקטובר</w:t>
      </w:r>
      <w:r w:rsidDel="00000000" w:rsidR="00000000" w:rsidRPr="00000000">
        <w:rPr>
          <w:sz w:val="24"/>
          <w:szCs w:val="24"/>
          <w:rtl w:val="1"/>
        </w:rPr>
        <w:t xml:space="preserve"> 2007.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מקורות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נבנישתי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חורי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כסאברי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ואסטור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', 2006.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תשס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דוח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מסכם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האוניברסיטה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בירושלים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סוציאלית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ולרווחה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דגני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', 1998.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1998 </w:t>
      </w:r>
      <w:r w:rsidDel="00000000" w:rsidR="00000000" w:rsidRPr="00000000">
        <w:rPr>
          <w:sz w:val="24"/>
          <w:szCs w:val="24"/>
          <w:rtl w:val="1"/>
        </w:rPr>
        <w:t xml:space="preserve">נורמות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ונוער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מצילה</w:t>
      </w:r>
      <w:r w:rsidDel="00000000" w:rsidR="00000000" w:rsidRPr="00000000">
        <w:rPr>
          <w:sz w:val="24"/>
          <w:szCs w:val="24"/>
          <w:rtl w:val="1"/>
        </w:rPr>
        <w:t xml:space="preserve">" – </w:t>
      </w:r>
      <w:r w:rsidDel="00000000" w:rsidR="00000000" w:rsidRPr="00000000">
        <w:rPr>
          <w:sz w:val="24"/>
          <w:szCs w:val="24"/>
          <w:rtl w:val="1"/>
        </w:rPr>
        <w:t xml:space="preserve">המועצה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לצמצום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העבריינות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הורוביץ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פרנקל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', 1990. </w:t>
      </w:r>
      <w:r w:rsidDel="00000000" w:rsidR="00000000" w:rsidRPr="00000000">
        <w:rPr>
          <w:sz w:val="24"/>
          <w:szCs w:val="24"/>
          <w:rtl w:val="1"/>
        </w:rPr>
        <w:t xml:space="preserve">מגמות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בהבנת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נוער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סאלד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הראל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קני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ורהב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', 1997. </w:t>
      </w:r>
      <w:r w:rsidDel="00000000" w:rsidR="00000000" w:rsidRPr="00000000">
        <w:rPr>
          <w:sz w:val="24"/>
          <w:szCs w:val="24"/>
          <w:rtl w:val="1"/>
        </w:rPr>
        <w:t xml:space="preserve">נוער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רווחה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בריאות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והתנהגויות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במבט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בינלאומי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הבריאות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הלאומי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לבקרת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והספורט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ראובני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', 2006. </w:t>
      </w:r>
      <w:r w:rsidDel="00000000" w:rsidR="00000000" w:rsidRPr="00000000">
        <w:rPr>
          <w:sz w:val="24"/>
          <w:szCs w:val="24"/>
          <w:rtl w:val="1"/>
        </w:rPr>
        <w:t xml:space="preserve">אלימות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שכיחות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השפעות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ואסטרטגיות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דוקטורט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אוניברסיטת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Elte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הונגריה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רולידר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לפידות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ולוי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', 2000. </w:t>
      </w:r>
      <w:r w:rsidDel="00000000" w:rsidR="00000000" w:rsidRPr="00000000">
        <w:rPr>
          <w:sz w:val="24"/>
          <w:szCs w:val="24"/>
          <w:rtl w:val="1"/>
        </w:rPr>
        <w:t xml:space="preserve">תופעת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ההצקה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בבתי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בישראל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המכללה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האקדמית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יזרעאל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ולמניעת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אנטי</w:t>
      </w:r>
      <w:r w:rsidDel="00000000" w:rsidR="00000000" w:rsidRPr="00000000">
        <w:rPr>
          <w:sz w:val="24"/>
          <w:szCs w:val="24"/>
          <w:rtl w:val="1"/>
        </w:rPr>
        <w:t xml:space="preserve">־</w:t>
      </w:r>
      <w:r w:rsidDel="00000000" w:rsidR="00000000" w:rsidRPr="00000000">
        <w:rPr>
          <w:sz w:val="24"/>
          <w:szCs w:val="24"/>
          <w:rtl w:val="1"/>
        </w:rPr>
        <w:t xml:space="preserve">חברתית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במוסדות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חינוכיים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40" w:line="40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Rolider, A., &amp; Ochayon, M. (2005). Bystander behaviors among Israel children witnessing bullying behavior in school settings. The Journal of the National Association of Pastoral Care in Education, 23(2), 36-39</w:t>
      </w:r>
    </w:p>
    <w:p w:rsidR="00000000" w:rsidDel="00000000" w:rsidP="00000000" w:rsidRDefault="00000000" w:rsidRPr="00000000" w14:paraId="00000036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tu.cet.ac.il/%D7%9C%D7%A0%D7%95%D7%95%D7%98-%D7%91%D7%A1%D7%A2%D7%A8%D7%94/" TargetMode="External"/><Relationship Id="rId10" Type="http://schemas.openxmlformats.org/officeDocument/2006/relationships/hyperlink" Target="https://www.itu.cet.ac.il/%D7%9C%D7%A0%D7%95%D7%95%D7%98-%D7%91%D7%A1%D7%A2%D7%A8%D7%94/" TargetMode="External"/><Relationship Id="rId13" Type="http://schemas.openxmlformats.org/officeDocument/2006/relationships/hyperlink" Target="https://www.itu.cet.ac.il/%D7%9C%D7%A0%D7%95%D7%95%D7%98-%D7%91%D7%A1%D7%A2%D7%A8%D7%94/" TargetMode="External"/><Relationship Id="rId12" Type="http://schemas.openxmlformats.org/officeDocument/2006/relationships/hyperlink" Target="https://www.itu.cet.ac.il/%D7%9C%D7%A0%D7%95%D7%95%D7%98-%D7%91%D7%A1%D7%A2%D7%A8%D7%9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tu.cet.ac.il/%D7%9C%D7%A0%D7%95%D7%95%D7%98-%D7%91%D7%A1%D7%A2%D7%A8%D7%94/" TargetMode="External"/><Relationship Id="rId15" Type="http://schemas.openxmlformats.org/officeDocument/2006/relationships/hyperlink" Target="https://www.itu.cet.ac.il/%D7%9C%D7%A0%D7%95%D7%95%D7%98-%D7%91%D7%A1%D7%A2%D7%A8%D7%94/" TargetMode="External"/><Relationship Id="rId14" Type="http://schemas.openxmlformats.org/officeDocument/2006/relationships/hyperlink" Target="https://www.itu.cet.ac.il/%D7%9C%D7%A0%D7%95%D7%95%D7%98-%D7%91%D7%A1%D7%A2%D7%A8%D7%94/" TargetMode="External"/><Relationship Id="rId17" Type="http://schemas.openxmlformats.org/officeDocument/2006/relationships/image" Target="media/image1.jpg"/><Relationship Id="rId16" Type="http://schemas.openxmlformats.org/officeDocument/2006/relationships/hyperlink" Target="https://www.itu.cet.ac.il/%D7%9C%D7%A0%D7%95%D7%95%D7%98-%D7%91%D7%A1%D7%A2%D7%A8%D7%94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tu.cet.ac.il/%D7%9C%D7%A0%D7%95%D7%95%D7%98-%D7%91%D7%A1%D7%A2%D7%A8%D7%94/" TargetMode="External"/><Relationship Id="rId7" Type="http://schemas.openxmlformats.org/officeDocument/2006/relationships/hyperlink" Target="https://www.itu.cet.ac.il/%D7%9C%D7%A0%D7%95%D7%95%D7%98-%D7%91%D7%A1%D7%A2%D7%A8%D7%94/" TargetMode="External"/><Relationship Id="rId8" Type="http://schemas.openxmlformats.org/officeDocument/2006/relationships/hyperlink" Target="https://www.itu.cet.ac.il/%D7%9C%D7%A0%D7%95%D7%95%D7%98-%D7%91%D7%A1%D7%A2%D7%A8%D7%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