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120" w:lineRule="auto"/>
        <w:jc w:val="both"/>
        <w:rPr>
          <w:rFonts w:ascii="Arial" w:cs="Arial" w:eastAsia="Arial" w:hAnsi="Arial"/>
          <w:b w:val="1"/>
          <w:sz w:val="32"/>
          <w:szCs w:val="32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למידה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בקבוצות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קטנות</w:t>
        </w:r>
      </w:hyperlink>
      <w:hyperlink r:id="rId12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: </w:t>
        </w:r>
      </w:hyperlink>
      <w:hyperlink r:id="rId13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לומדים</w:t>
        </w:r>
      </w:hyperlink>
      <w:hyperlink r:id="rId14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 </w:t>
        </w:r>
      </w:hyperlink>
      <w:hyperlink r:id="rId15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לדבר</w:t>
        </w:r>
      </w:hyperlink>
      <w:hyperlink r:id="rId16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 </w:t>
        </w:r>
      </w:hyperlink>
      <w:hyperlink r:id="rId17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ומדברים</w:t>
        </w:r>
      </w:hyperlink>
      <w:hyperlink r:id="rId18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 </w:t>
        </w:r>
      </w:hyperlink>
      <w:hyperlink r:id="rId19">
        <w:r w:rsidDel="00000000" w:rsidR="00000000" w:rsidRPr="00000000">
          <w:rPr>
            <w:rFonts w:ascii="Arial" w:cs="Arial" w:eastAsia="Arial" w:hAnsi="Arial"/>
            <w:b w:val="1"/>
            <w:color w:val="1155cc"/>
            <w:sz w:val="32"/>
            <w:szCs w:val="32"/>
            <w:u w:val="single"/>
            <w:rtl w:val="1"/>
          </w:rPr>
          <w:t xml:space="preserve">ללמוד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מאיה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בוזו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שוורץ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ויפה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בניה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. "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לומדים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ומדברים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" 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הד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, 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אוגוסט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2013,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כרך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גיליון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' 07 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עמודים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1"/>
        </w:rPr>
        <w:t xml:space="preserve">  120-121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ללמידה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ישנם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יתרונות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למצות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לתכנן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כראוי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מאמר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מיוחד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למורי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השעות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הפרטניות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נתפסת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כחלופה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מבטיחה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שיתופית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ושוויונית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פירוק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מליאת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מבטיח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הכרחי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תלויה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תלויה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באיכות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שמתרחש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מתרחש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מאליו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דורש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השקעה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בהבניה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תובעני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מתפקידו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להתאמץ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ולהשקיע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ללמידה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עשויים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יתרונות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חינוכיים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וחברתיים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גדולים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ומעודדת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שוויונית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מוכתבת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");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2.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ומעודדת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הדדית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מחליפים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תפקידים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בתהליך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התפקידים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מלמדת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3.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ומעודדת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ומעורבת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פסיבית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ומנוכרת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4.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ומעודדת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יחסים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קרובים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היוצרת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ריחוק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ותחרות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ומעודדת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עמיתים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המקדמת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הקרובה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והחוויות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מבוגר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ומרוויחים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היתרונות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להקפיד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יסודות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המבנה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הקבוצתי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הבניית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והוראה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מפורשת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שיתופי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המבנה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הקבוצתי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בתכנון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לנקודות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הלומדים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וגודל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ביחס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לגודל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בהינתן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השלב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נמצאת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הרכב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הומוגנית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הטרוגנית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מוביל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תפקידים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צופה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מתעד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רצוי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שיעבדו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רצוי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רצוי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ליישם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ולתקן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נקודתיות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לחזק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מסוימת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בתחום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ספציפי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עדיף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הומוגניות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הדורשים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ריבוי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הטרוגניות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הטרוגניות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עדיפות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במישור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הלימודי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במישור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חלוקת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תפקידים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היבט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בחרתם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תפקידים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דאגו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בתפקיד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בקשת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הסברים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ונימוקים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מחברי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הקבוצה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העלאת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הקפדה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השתתפות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בבחירת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שיקולים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לימודיים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ושיקולים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רוטציה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ולהימנע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מקביעו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בתפקיד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הבניית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המשימה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שוויוני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שיתופי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מובילים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להפקתו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תוצר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משותף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לבעיה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פרויקט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להיווצר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הפעולה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המשותפת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לתוצר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היטב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ולהתאים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לפעילות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קבוצתית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דורשת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משאבים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שהפרט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מחזיק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לבדו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שהצלחה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דורשת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הסתמכות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המבט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הדדיות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הצלחת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תלויה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החזקים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תלויים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החזקים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להפך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להתבסס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מסוימים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ההיגיון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רביעיות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זקוק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מסדר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גבוה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מתכונותיה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היעדר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מגוונות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היכולות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לעניין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ולכישרון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מפורשת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שיתופי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הרכיב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כאמור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כאמור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שיתופי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מתרחש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מאליו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דורש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מפורשת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להתאמן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פורייה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השתתפות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מורחבת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ומעורבת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העמיתים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מתנהלת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מוסכמים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אפשרות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לטעות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להיתקל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בשיפוטיות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בלעג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ביקורת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ניתנת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מסבירים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ומנמקים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רעיונותיהם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שואלים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ומבקשים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ונימוקים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מעמיתיהם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לטענותיהם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נחלצים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לעזרת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חבריהם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ומספקים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חותרים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להסכמה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נקיטת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החלטה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מתייחסים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למבעים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קודמיהם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עניינית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אישוש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הוספה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שחזור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מעובד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הפרקטיקות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אינן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נלמדות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בהוראה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התנסות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המלווה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בהוראה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התנסות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דורשת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הנה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עצות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מעשיות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לקידום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איכותי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מדובבי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שיתופי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רצוי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לסייע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להיגדים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המקדמים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..";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עמך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..";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נוספת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להסתכל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העניין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..";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הנימוקים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להסכים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"?;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יקרה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..?";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נוספת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עשויה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...";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ההפך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..";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..";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...".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למדו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יסוד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לדיבור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בקבוצה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פתוחה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ביקורת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מעניינת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מאתגרת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נימוק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לחלוק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רלוונטי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להקשיב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בקפידה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להסכמה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עדיף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להתמקד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בתרגול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ועדיף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נושאים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ידידותיים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מתקדם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נושאים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שנויים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במחלוקת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הקפידו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מיטבי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והדגימו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שיח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הדינמיקה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התכנים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ההבדל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איכותית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הרכבים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בזוגות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שבתוכו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מתנהל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הדגימו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מיטבי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והקפידו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דרכי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עשה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ואל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תעשה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לסיום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שמרו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מבנה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הקבוצות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מחקרים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היסודי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אפקטיבית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מתחלפת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קביעות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לחבריה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קונפליקטים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לשלבים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ראשוניים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ולהתאמן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שוטף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המשותפת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נצלו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לתצפית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ולהתבוננות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למעורבות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בפעילותם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לערוך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מטא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קוגניציה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תהליכי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תניחו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שהנחיות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כגון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להחליט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",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לפתרון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שמקובל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עליכם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וכדומה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מבטיחות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אופן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המשותף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294.54545454545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תנו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הנחיות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המסייעות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חבר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שותף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להשתתף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ולהוסיף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מציג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בעבודת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במליאה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מקבלת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הממוצע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הציונים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האישיים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</w:pPr>
    <w:rPr>
      <w:rFonts w:ascii="Arial" w:cs="Arial" w:eastAsia="Arial" w:hAnsi="Arial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275F6"/>
    <w:pPr>
      <w:bidi w:val="1"/>
    </w:pPr>
    <w:rPr>
      <w:lang w:eastAsia="he-IL"/>
    </w:rPr>
  </w:style>
  <w:style w:type="paragraph" w:styleId="1">
    <w:name w:val="heading 1"/>
    <w:basedOn w:val="a"/>
    <w:next w:val="a"/>
    <w:qFormat w:val="1"/>
    <w:rsid w:val="00B275F6"/>
    <w:pPr>
      <w:keepNext w:val="1"/>
      <w:spacing w:after="120"/>
      <w:outlineLvl w:val="0"/>
    </w:pPr>
    <w:rPr>
      <w:rFonts w:ascii="Arial" w:cs="Arial" w:hAnsi="Arial"/>
      <w:i w:val="1"/>
      <w:i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basedOn w:val="a0"/>
    <w:rsid w:val="00D6583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10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13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12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15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14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17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16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5" Type="http://schemas.openxmlformats.org/officeDocument/2006/relationships/styles" Target="styles.xml"/><Relationship Id="rId19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7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Relationship Id="rId8" Type="http://schemas.openxmlformats.org/officeDocument/2006/relationships/hyperlink" Target="https://portal.macam.ac.il/article/%D7%9C%D7%9E%D7%99%D7%93%D7%94-%D7%91%D7%A7%D7%91%D7%95%D7%A6%D7%95%D7%AA-%D7%A7%D7%98%D7%A0%D7%95%D7%AA-%D7%9C%D7%95%D7%9E%D7%93%D7%99%D7%9D-%D7%9C%D7%93%D7%91%D7%A8-%D7%95%D7%9E%D7%93%D7%91%D7%A8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XksxnpwnR1ZOxCuZ/m7Hw8YUiQ==">AMUW2mVozOeMgrUqGD29sWKWlLZxTkLqoU5wPVZHX+/qJ2+UG5QfJLbRDE4A06xFh8HvaISm9Bo2jwNs/LO+pEkfEYyZ5nh2Iiu93kpiNbfacmmL3AJpKw4=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2019-01-23T19:29:00Z</dcterms:created>
  <dc:creator>rafi</dc:creator>
</cp:coreProperties>
</file>