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E798A" w:rsidRDefault="003E798A">
      <w:pPr>
        <w:bidi/>
        <w:spacing w:line="360" w:lineRule="auto"/>
      </w:pPr>
      <w:bookmarkStart w:id="0" w:name="_GoBack"/>
      <w:bookmarkEnd w:id="0"/>
    </w:p>
    <w:p w:rsidR="003E798A" w:rsidRDefault="003E798A">
      <w:pPr>
        <w:bidi/>
        <w:spacing w:line="360" w:lineRule="auto"/>
      </w:pPr>
    </w:p>
    <w:p w:rsidR="003E798A" w:rsidRDefault="00FE018A">
      <w:pPr>
        <w:bidi/>
        <w:spacing w:line="360" w:lineRule="auto"/>
        <w:jc w:val="center"/>
      </w:pPr>
      <w:r>
        <w:rPr>
          <w:b/>
          <w:color w:val="17365D"/>
          <w:sz w:val="24"/>
          <w:rtl/>
        </w:rPr>
        <w:t>רשימת ספרים ומאמרים בתחומי פסיכולוגיה ופסיכותרפיה</w:t>
      </w:r>
    </w:p>
    <w:p w:rsidR="003E798A" w:rsidRDefault="00FE018A">
      <w:pPr>
        <w:numPr>
          <w:ilvl w:val="2"/>
          <w:numId w:val="5"/>
        </w:numPr>
        <w:bidi/>
        <w:spacing w:line="360" w:lineRule="auto"/>
        <w:ind w:left="805" w:right="805" w:hanging="424"/>
        <w:rPr>
          <w:color w:val="17365D"/>
          <w:sz w:val="24"/>
        </w:rPr>
      </w:pPr>
      <w:r>
        <w:rPr>
          <w:color w:val="17365D"/>
          <w:sz w:val="24"/>
          <w:rtl/>
        </w:rPr>
        <w:t>אוגדן, ת., (2001)</w:t>
      </w:r>
      <w:r>
        <w:rPr>
          <w:b/>
          <w:color w:val="17365D"/>
          <w:sz w:val="24"/>
          <w:rtl/>
        </w:rPr>
        <w:t xml:space="preserve"> הקצה הפרימיטיבי של החוויה תרגום: </w:t>
      </w:r>
      <w:r>
        <w:rPr>
          <w:color w:val="17365D"/>
          <w:sz w:val="24"/>
          <w:rtl/>
        </w:rPr>
        <w:t>אבנר ברגשטיין וחגית אהרוני. הוצאת עם עובד</w:t>
      </w:r>
      <w:r>
        <w:rPr>
          <w:b/>
          <w:color w:val="17365D"/>
          <w:sz w:val="24"/>
        </w:rPr>
        <w:t xml:space="preserve"> </w:t>
      </w:r>
    </w:p>
    <w:p w:rsidR="003E798A" w:rsidRDefault="00FE018A">
      <w:pPr>
        <w:numPr>
          <w:ilvl w:val="2"/>
          <w:numId w:val="5"/>
        </w:numPr>
        <w:bidi/>
        <w:spacing w:line="360" w:lineRule="auto"/>
        <w:ind w:left="0" w:right="2160" w:hanging="1779"/>
        <w:rPr>
          <w:color w:val="17365D"/>
          <w:sz w:val="24"/>
        </w:rPr>
      </w:pPr>
      <w:r>
        <w:rPr>
          <w:color w:val="17365D"/>
          <w:sz w:val="24"/>
          <w:rtl/>
        </w:rPr>
        <w:t>אוגדן, ת, (2013)</w:t>
      </w:r>
      <w:r>
        <w:rPr>
          <w:b/>
          <w:color w:val="17365D"/>
          <w:sz w:val="24"/>
          <w:rtl/>
        </w:rPr>
        <w:t xml:space="preserve"> על אי היכולת לחלום </w:t>
      </w:r>
      <w:proofErr w:type="spellStart"/>
      <w:r>
        <w:rPr>
          <w:color w:val="17365D"/>
          <w:sz w:val="24"/>
          <w:rtl/>
        </w:rPr>
        <w:t>תרגום:אפרת</w:t>
      </w:r>
      <w:proofErr w:type="spellEnd"/>
      <w:r>
        <w:rPr>
          <w:color w:val="17365D"/>
          <w:sz w:val="24"/>
          <w:rtl/>
        </w:rPr>
        <w:t xml:space="preserve"> גבאי הוצאת עם עובד.</w:t>
      </w:r>
    </w:p>
    <w:p w:rsidR="003E798A" w:rsidRDefault="00FE018A">
      <w:pPr>
        <w:numPr>
          <w:ilvl w:val="2"/>
          <w:numId w:val="5"/>
        </w:numPr>
        <w:bidi/>
        <w:spacing w:line="360" w:lineRule="auto"/>
        <w:ind w:left="0" w:right="2160" w:hanging="1779"/>
        <w:rPr>
          <w:color w:val="17365D"/>
          <w:sz w:val="24"/>
        </w:rPr>
      </w:pPr>
      <w:r>
        <w:rPr>
          <w:color w:val="17365D"/>
          <w:sz w:val="24"/>
        </w:rPr>
        <w:t xml:space="preserve">Ogden, T. H., The Concept of interpretive action, </w:t>
      </w:r>
      <w:proofErr w:type="spellStart"/>
      <w:r>
        <w:rPr>
          <w:color w:val="17365D"/>
          <w:sz w:val="24"/>
        </w:rPr>
        <w:t>Psychoanal</w:t>
      </w:r>
      <w:proofErr w:type="spellEnd"/>
      <w:r>
        <w:rPr>
          <w:color w:val="17365D"/>
          <w:sz w:val="24"/>
        </w:rPr>
        <w:t xml:space="preserve"> Q 1994 Apr;63(2):219-45                                       </w:t>
      </w:r>
    </w:p>
    <w:p w:rsidR="003E798A" w:rsidRDefault="00FE018A">
      <w:pPr>
        <w:numPr>
          <w:ilvl w:val="0"/>
          <w:numId w:val="5"/>
        </w:numPr>
        <w:bidi/>
        <w:spacing w:line="360" w:lineRule="auto"/>
        <w:ind w:left="0" w:right="720" w:hanging="359"/>
        <w:rPr>
          <w:color w:val="17365D"/>
          <w:sz w:val="24"/>
        </w:rPr>
      </w:pPr>
      <w:r>
        <w:rPr>
          <w:color w:val="17365D"/>
          <w:sz w:val="24"/>
          <w:rtl/>
        </w:rPr>
        <w:t xml:space="preserve">אופנהיימר, א. (2000) </w:t>
      </w:r>
      <w:proofErr w:type="spellStart"/>
      <w:r>
        <w:rPr>
          <w:b/>
          <w:color w:val="17365D"/>
          <w:sz w:val="24"/>
          <w:rtl/>
        </w:rPr>
        <w:t>הינץ</w:t>
      </w:r>
      <w:proofErr w:type="spellEnd"/>
      <w:r>
        <w:rPr>
          <w:b/>
          <w:color w:val="17365D"/>
          <w:sz w:val="24"/>
          <w:rtl/>
        </w:rPr>
        <w:t xml:space="preserve"> קוהוט</w:t>
      </w:r>
      <w:r>
        <w:rPr>
          <w:color w:val="17365D"/>
          <w:sz w:val="24"/>
          <w:rtl/>
        </w:rPr>
        <w:t>. תל-אביב: תולעת ספרים.</w:t>
      </w:r>
    </w:p>
    <w:p w:rsidR="003E798A" w:rsidRDefault="00FE018A">
      <w:pPr>
        <w:numPr>
          <w:ilvl w:val="0"/>
          <w:numId w:val="12"/>
        </w:numPr>
        <w:bidi/>
        <w:spacing w:line="360" w:lineRule="auto"/>
        <w:ind w:left="947" w:right="947" w:hanging="283"/>
        <w:rPr>
          <w:color w:val="17365D"/>
          <w:sz w:val="24"/>
        </w:rPr>
      </w:pPr>
      <w:r>
        <w:rPr>
          <w:color w:val="17365D"/>
          <w:sz w:val="24"/>
          <w:rtl/>
        </w:rPr>
        <w:t>מושגי מפתח בתורתו של קוהוט (עמ' 34 – 61).</w:t>
      </w:r>
    </w:p>
    <w:p w:rsidR="003E798A" w:rsidRDefault="00FE018A">
      <w:pPr>
        <w:numPr>
          <w:ilvl w:val="0"/>
          <w:numId w:val="13"/>
        </w:numPr>
        <w:bidi/>
        <w:spacing w:line="360" w:lineRule="auto"/>
        <w:ind w:left="0" w:right="720" w:hanging="359"/>
        <w:rPr>
          <w:color w:val="17365D"/>
          <w:sz w:val="24"/>
        </w:rPr>
      </w:pPr>
      <w:proofErr w:type="spellStart"/>
      <w:r>
        <w:rPr>
          <w:color w:val="17365D"/>
          <w:sz w:val="24"/>
          <w:rtl/>
        </w:rPr>
        <w:t>אוקלנדר</w:t>
      </w:r>
      <w:proofErr w:type="spellEnd"/>
      <w:r>
        <w:rPr>
          <w:color w:val="17365D"/>
          <w:sz w:val="24"/>
          <w:rtl/>
        </w:rPr>
        <w:t xml:space="preserve">, ו. (1992). </w:t>
      </w:r>
      <w:r>
        <w:rPr>
          <w:b/>
          <w:color w:val="17365D"/>
          <w:sz w:val="24"/>
          <w:rtl/>
        </w:rPr>
        <w:t>אשנב לנפש</w:t>
      </w:r>
      <w:r>
        <w:rPr>
          <w:color w:val="17365D"/>
          <w:sz w:val="24"/>
          <w:rtl/>
        </w:rPr>
        <w:t>. חיפה</w:t>
      </w:r>
      <w:r>
        <w:rPr>
          <w:color w:val="17365D"/>
          <w:sz w:val="24"/>
          <w:rtl/>
        </w:rPr>
        <w:t>: הוצאת נורד.</w:t>
      </w:r>
    </w:p>
    <w:p w:rsidR="003E798A" w:rsidRDefault="00FE018A">
      <w:pPr>
        <w:numPr>
          <w:ilvl w:val="0"/>
          <w:numId w:val="12"/>
        </w:numPr>
        <w:bidi/>
        <w:spacing w:line="360" w:lineRule="auto"/>
        <w:ind w:left="947" w:right="947" w:hanging="283"/>
        <w:rPr>
          <w:color w:val="17365D"/>
          <w:sz w:val="24"/>
        </w:rPr>
      </w:pPr>
      <w:r>
        <w:rPr>
          <w:color w:val="17365D"/>
          <w:sz w:val="24"/>
          <w:rtl/>
        </w:rPr>
        <w:t>פרק 9: תהליך התרפיה (עמ' 175 – 191).</w:t>
      </w:r>
    </w:p>
    <w:p w:rsidR="003E798A" w:rsidRDefault="00FE018A">
      <w:pPr>
        <w:numPr>
          <w:ilvl w:val="0"/>
          <w:numId w:val="13"/>
        </w:numPr>
        <w:bidi/>
        <w:spacing w:line="360" w:lineRule="auto"/>
        <w:ind w:left="0" w:right="720" w:hanging="359"/>
        <w:rPr>
          <w:color w:val="17365D"/>
          <w:sz w:val="24"/>
        </w:rPr>
      </w:pPr>
      <w:r>
        <w:rPr>
          <w:color w:val="17365D"/>
          <w:sz w:val="24"/>
          <w:rtl/>
        </w:rPr>
        <w:t xml:space="preserve">עורך: אנדרסון, ר. (2001) </w:t>
      </w:r>
      <w:r>
        <w:rPr>
          <w:b/>
          <w:color w:val="17365D"/>
          <w:sz w:val="24"/>
          <w:rtl/>
        </w:rPr>
        <w:t>מאמרים קליניים על קליין וביון,</w:t>
      </w:r>
      <w:r>
        <w:rPr>
          <w:color w:val="17365D"/>
          <w:sz w:val="24"/>
          <w:rtl/>
        </w:rPr>
        <w:t xml:space="preserve"> מודן הוצאה לאור בע"מ, תל-אביב.</w:t>
      </w:r>
    </w:p>
    <w:p w:rsidR="003E798A" w:rsidRDefault="00FE018A">
      <w:pPr>
        <w:numPr>
          <w:ilvl w:val="0"/>
          <w:numId w:val="13"/>
        </w:numPr>
        <w:bidi/>
        <w:spacing w:line="360" w:lineRule="auto"/>
        <w:ind w:left="0" w:right="720" w:hanging="359"/>
        <w:rPr>
          <w:color w:val="17365D"/>
          <w:sz w:val="24"/>
        </w:rPr>
      </w:pPr>
      <w:r>
        <w:rPr>
          <w:color w:val="17365D"/>
          <w:sz w:val="24"/>
          <w:rtl/>
        </w:rPr>
        <w:t xml:space="preserve">בולס, כ. (2000). </w:t>
      </w:r>
      <w:proofErr w:type="spellStart"/>
      <w:r>
        <w:rPr>
          <w:b/>
          <w:color w:val="17365D"/>
          <w:sz w:val="24"/>
          <w:rtl/>
        </w:rPr>
        <w:t>צילו</w:t>
      </w:r>
      <w:proofErr w:type="spellEnd"/>
      <w:r>
        <w:rPr>
          <w:b/>
          <w:color w:val="17365D"/>
          <w:sz w:val="24"/>
          <w:rtl/>
        </w:rPr>
        <w:t xml:space="preserve"> של האובייקט</w:t>
      </w:r>
      <w:r>
        <w:rPr>
          <w:color w:val="17365D"/>
          <w:sz w:val="24"/>
          <w:rtl/>
        </w:rPr>
        <w:t>. לוד: הוצאת דביר.</w:t>
      </w:r>
    </w:p>
    <w:p w:rsidR="003E798A" w:rsidRDefault="00FE018A">
      <w:pPr>
        <w:numPr>
          <w:ilvl w:val="0"/>
          <w:numId w:val="12"/>
        </w:numPr>
        <w:bidi/>
        <w:spacing w:line="360" w:lineRule="auto"/>
        <w:ind w:left="947" w:right="947" w:hanging="283"/>
        <w:rPr>
          <w:color w:val="17365D"/>
          <w:sz w:val="24"/>
        </w:rPr>
      </w:pPr>
      <w:r>
        <w:rPr>
          <w:color w:val="17365D"/>
          <w:sz w:val="24"/>
          <w:rtl/>
        </w:rPr>
        <w:t xml:space="preserve">פרק 1: האובייקט </w:t>
      </w:r>
      <w:proofErr w:type="spellStart"/>
      <w:r>
        <w:rPr>
          <w:color w:val="17365D"/>
          <w:sz w:val="24"/>
          <w:rtl/>
        </w:rPr>
        <w:t>המתמיר</w:t>
      </w:r>
      <w:proofErr w:type="spellEnd"/>
      <w:r>
        <w:rPr>
          <w:color w:val="17365D"/>
          <w:sz w:val="24"/>
          <w:rtl/>
        </w:rPr>
        <w:t xml:space="preserve"> (עמ' 31 – 47). </w:t>
      </w:r>
    </w:p>
    <w:p w:rsidR="003E798A" w:rsidRDefault="00FE018A">
      <w:pPr>
        <w:numPr>
          <w:ilvl w:val="0"/>
          <w:numId w:val="11"/>
        </w:numPr>
        <w:bidi/>
        <w:spacing w:line="360" w:lineRule="auto"/>
        <w:ind w:left="0" w:right="720" w:hanging="359"/>
        <w:rPr>
          <w:color w:val="17365D"/>
          <w:sz w:val="24"/>
        </w:rPr>
      </w:pPr>
      <w:r>
        <w:rPr>
          <w:color w:val="17365D"/>
          <w:sz w:val="24"/>
          <w:rtl/>
        </w:rPr>
        <w:t xml:space="preserve">עורך: דורבן י. (2003) </w:t>
      </w:r>
      <w:r>
        <w:rPr>
          <w:b/>
          <w:color w:val="17365D"/>
          <w:sz w:val="24"/>
          <w:rtl/>
        </w:rPr>
        <w:t xml:space="preserve">מלני </w:t>
      </w:r>
      <w:r>
        <w:rPr>
          <w:b/>
          <w:color w:val="17365D"/>
          <w:sz w:val="24"/>
          <w:rtl/>
        </w:rPr>
        <w:t>קליין – כתבים נבחרים</w:t>
      </w:r>
      <w:r>
        <w:rPr>
          <w:color w:val="17365D"/>
          <w:sz w:val="24"/>
          <w:rtl/>
        </w:rPr>
        <w:t>, תולעת ספרים בע"מ, תל-אביב.</w:t>
      </w:r>
    </w:p>
    <w:p w:rsidR="003E798A" w:rsidRDefault="00FE018A">
      <w:pPr>
        <w:numPr>
          <w:ilvl w:val="0"/>
          <w:numId w:val="11"/>
        </w:numPr>
        <w:bidi/>
        <w:spacing w:line="360" w:lineRule="auto"/>
        <w:ind w:left="0" w:right="720" w:hanging="359"/>
        <w:rPr>
          <w:color w:val="17365D"/>
          <w:sz w:val="24"/>
        </w:rPr>
      </w:pPr>
      <w:r>
        <w:rPr>
          <w:color w:val="17365D"/>
          <w:sz w:val="24"/>
          <w:rtl/>
        </w:rPr>
        <w:t>הדר, א. (2001) השיח הטיפולי. לוד: הוצאת דביר.</w:t>
      </w:r>
    </w:p>
    <w:p w:rsidR="003E798A" w:rsidRDefault="00FE018A">
      <w:pPr>
        <w:numPr>
          <w:ilvl w:val="0"/>
          <w:numId w:val="12"/>
        </w:numPr>
        <w:bidi/>
        <w:spacing w:line="360" w:lineRule="auto"/>
        <w:ind w:left="0" w:right="1440" w:hanging="359"/>
        <w:rPr>
          <w:color w:val="17365D"/>
          <w:sz w:val="24"/>
        </w:rPr>
      </w:pPr>
      <w:r>
        <w:rPr>
          <w:color w:val="17365D"/>
          <w:sz w:val="24"/>
          <w:rtl/>
        </w:rPr>
        <w:t>מתוך פרק 2: האפקט הטיפולי (עמ' 55 – 81).</w:t>
      </w:r>
    </w:p>
    <w:p w:rsidR="003E798A" w:rsidRDefault="00FE018A">
      <w:pPr>
        <w:numPr>
          <w:ilvl w:val="0"/>
          <w:numId w:val="12"/>
        </w:numPr>
        <w:bidi/>
        <w:spacing w:line="360" w:lineRule="auto"/>
        <w:ind w:left="0" w:right="1440" w:hanging="359"/>
        <w:rPr>
          <w:color w:val="17365D"/>
          <w:sz w:val="24"/>
        </w:rPr>
      </w:pPr>
      <w:r>
        <w:rPr>
          <w:color w:val="17365D"/>
          <w:sz w:val="24"/>
          <w:rtl/>
        </w:rPr>
        <w:t>מתוך פרק 4: תורת היחסים, העמקת ההעברה – התנגדות (עמ' 169 – 181).</w:t>
      </w:r>
    </w:p>
    <w:p w:rsidR="003E798A" w:rsidRDefault="00FE018A">
      <w:pPr>
        <w:numPr>
          <w:ilvl w:val="0"/>
          <w:numId w:val="10"/>
        </w:numPr>
        <w:bidi/>
        <w:spacing w:line="360" w:lineRule="auto"/>
        <w:ind w:left="0" w:right="720" w:hanging="359"/>
        <w:rPr>
          <w:color w:val="17365D"/>
          <w:sz w:val="24"/>
        </w:rPr>
      </w:pPr>
      <w:r>
        <w:rPr>
          <w:color w:val="17365D"/>
          <w:sz w:val="24"/>
          <w:rtl/>
        </w:rPr>
        <w:t xml:space="preserve">ויניקוט, ד.ו (תשנ"ו) </w:t>
      </w:r>
      <w:r>
        <w:rPr>
          <w:b/>
          <w:color w:val="17365D"/>
          <w:sz w:val="24"/>
          <w:rtl/>
        </w:rPr>
        <w:t>משחק ומציאות</w:t>
      </w:r>
      <w:r>
        <w:rPr>
          <w:color w:val="17365D"/>
          <w:sz w:val="24"/>
          <w:rtl/>
        </w:rPr>
        <w:t>. תל-אביב: הוצאת עם עו</w:t>
      </w:r>
      <w:r>
        <w:rPr>
          <w:color w:val="17365D"/>
          <w:sz w:val="24"/>
          <w:rtl/>
        </w:rPr>
        <w:t>בד.</w:t>
      </w:r>
    </w:p>
    <w:p w:rsidR="003E798A" w:rsidRDefault="00FE018A">
      <w:pPr>
        <w:numPr>
          <w:ilvl w:val="0"/>
          <w:numId w:val="7"/>
        </w:numPr>
        <w:bidi/>
        <w:spacing w:line="360" w:lineRule="auto"/>
        <w:ind w:left="947" w:right="947" w:hanging="283"/>
        <w:rPr>
          <w:color w:val="17365D"/>
          <w:sz w:val="24"/>
        </w:rPr>
      </w:pPr>
      <w:r>
        <w:rPr>
          <w:color w:val="17365D"/>
          <w:sz w:val="24"/>
          <w:rtl/>
        </w:rPr>
        <w:t>פרק 3: משחק (עמ' 66 - 78).</w:t>
      </w:r>
    </w:p>
    <w:p w:rsidR="003E798A" w:rsidRDefault="00FE018A">
      <w:pPr>
        <w:numPr>
          <w:ilvl w:val="0"/>
          <w:numId w:val="7"/>
        </w:numPr>
        <w:bidi/>
        <w:spacing w:line="360" w:lineRule="auto"/>
        <w:ind w:left="947" w:right="947" w:hanging="283"/>
        <w:rPr>
          <w:color w:val="17365D"/>
          <w:sz w:val="24"/>
        </w:rPr>
      </w:pPr>
      <w:r>
        <w:rPr>
          <w:color w:val="17365D"/>
          <w:sz w:val="24"/>
          <w:rtl/>
        </w:rPr>
        <w:t>פרק 9: תפקיד הראי (עמ' 128 – 134).</w:t>
      </w:r>
    </w:p>
    <w:p w:rsidR="003E798A" w:rsidRDefault="00FE018A">
      <w:pPr>
        <w:numPr>
          <w:ilvl w:val="0"/>
          <w:numId w:val="10"/>
        </w:numPr>
        <w:bidi/>
        <w:spacing w:line="360" w:lineRule="auto"/>
        <w:ind w:left="0" w:right="720" w:hanging="359"/>
        <w:rPr>
          <w:color w:val="17365D"/>
          <w:sz w:val="24"/>
        </w:rPr>
      </w:pPr>
      <w:r>
        <w:rPr>
          <w:color w:val="17365D"/>
          <w:sz w:val="24"/>
          <w:rtl/>
        </w:rPr>
        <w:t xml:space="preserve">ויניקוט, ד.ו. (2009) </w:t>
      </w:r>
      <w:r>
        <w:rPr>
          <w:b/>
          <w:color w:val="17365D"/>
          <w:sz w:val="24"/>
          <w:rtl/>
        </w:rPr>
        <w:t xml:space="preserve">עצמי </w:t>
      </w:r>
      <w:proofErr w:type="spellStart"/>
      <w:r>
        <w:rPr>
          <w:b/>
          <w:color w:val="17365D"/>
          <w:sz w:val="24"/>
          <w:rtl/>
        </w:rPr>
        <w:t>אמיתי</w:t>
      </w:r>
      <w:proofErr w:type="spellEnd"/>
      <w:r>
        <w:rPr>
          <w:b/>
          <w:color w:val="17365D"/>
          <w:sz w:val="24"/>
          <w:rtl/>
        </w:rPr>
        <w:t>, עצמי כוזב</w:t>
      </w:r>
      <w:r>
        <w:rPr>
          <w:color w:val="17365D"/>
          <w:sz w:val="24"/>
          <w:rtl/>
        </w:rPr>
        <w:t>, הוצאת עם עובד בע"מ, תל-אביב.</w:t>
      </w:r>
    </w:p>
    <w:p w:rsidR="003E798A" w:rsidRDefault="00FE018A">
      <w:pPr>
        <w:numPr>
          <w:ilvl w:val="0"/>
          <w:numId w:val="10"/>
        </w:numPr>
        <w:bidi/>
        <w:spacing w:line="360" w:lineRule="auto"/>
        <w:ind w:left="0" w:right="720" w:hanging="359"/>
        <w:rPr>
          <w:color w:val="17365D"/>
          <w:sz w:val="24"/>
        </w:rPr>
      </w:pPr>
      <w:proofErr w:type="spellStart"/>
      <w:r>
        <w:rPr>
          <w:color w:val="17365D"/>
          <w:sz w:val="24"/>
          <w:rtl/>
        </w:rPr>
        <w:t>מקמאהון</w:t>
      </w:r>
      <w:proofErr w:type="spellEnd"/>
      <w:r>
        <w:rPr>
          <w:color w:val="17365D"/>
          <w:sz w:val="24"/>
          <w:rtl/>
        </w:rPr>
        <w:t xml:space="preserve">, ל. (1996) </w:t>
      </w:r>
      <w:r>
        <w:rPr>
          <w:b/>
          <w:color w:val="17365D"/>
          <w:sz w:val="24"/>
          <w:rtl/>
        </w:rPr>
        <w:t>תרפיה במשחק</w:t>
      </w:r>
      <w:r>
        <w:rPr>
          <w:color w:val="17365D"/>
          <w:sz w:val="24"/>
          <w:rtl/>
        </w:rPr>
        <w:t xml:space="preserve">.  </w:t>
      </w:r>
      <w:proofErr w:type="spellStart"/>
      <w:r>
        <w:rPr>
          <w:color w:val="17365D"/>
          <w:sz w:val="24"/>
          <w:rtl/>
        </w:rPr>
        <w:t>קרית</w:t>
      </w:r>
      <w:proofErr w:type="spellEnd"/>
      <w:r>
        <w:rPr>
          <w:color w:val="17365D"/>
          <w:sz w:val="24"/>
          <w:rtl/>
        </w:rPr>
        <w:t xml:space="preserve"> ביאליק: הוצאת אח.</w:t>
      </w:r>
    </w:p>
    <w:p w:rsidR="003E798A" w:rsidRDefault="00FE018A">
      <w:pPr>
        <w:numPr>
          <w:ilvl w:val="0"/>
          <w:numId w:val="6"/>
        </w:numPr>
        <w:bidi/>
        <w:spacing w:line="360" w:lineRule="auto"/>
        <w:ind w:left="947" w:right="947" w:hanging="283"/>
        <w:rPr>
          <w:color w:val="17365D"/>
          <w:sz w:val="24"/>
        </w:rPr>
      </w:pPr>
      <w:r>
        <w:rPr>
          <w:color w:val="17365D"/>
          <w:sz w:val="24"/>
          <w:rtl/>
        </w:rPr>
        <w:t>פרק 4: משחק בטיפול בגיל הרך ובטיפול משפחתי (עמ' 122 – 141).</w:t>
      </w:r>
    </w:p>
    <w:p w:rsidR="003E798A" w:rsidRDefault="00FE018A">
      <w:pPr>
        <w:numPr>
          <w:ilvl w:val="0"/>
          <w:numId w:val="8"/>
        </w:numPr>
        <w:bidi/>
        <w:spacing w:line="360" w:lineRule="auto"/>
        <w:ind w:left="0" w:right="720" w:hanging="359"/>
        <w:rPr>
          <w:color w:val="17365D"/>
          <w:sz w:val="24"/>
        </w:rPr>
      </w:pPr>
      <w:r>
        <w:rPr>
          <w:color w:val="17365D"/>
          <w:sz w:val="24"/>
          <w:rtl/>
        </w:rPr>
        <w:t>ס</w:t>
      </w:r>
      <w:r>
        <w:rPr>
          <w:color w:val="17365D"/>
          <w:sz w:val="24"/>
          <w:rtl/>
        </w:rPr>
        <w:t xml:space="preserve">גל, ח. (1999). </w:t>
      </w:r>
      <w:r>
        <w:rPr>
          <w:b/>
          <w:color w:val="17365D"/>
          <w:sz w:val="24"/>
          <w:rtl/>
        </w:rPr>
        <w:t>מלאני קליין</w:t>
      </w:r>
      <w:r>
        <w:rPr>
          <w:color w:val="17365D"/>
          <w:sz w:val="24"/>
          <w:rtl/>
        </w:rPr>
        <w:t>. תל-אביב: הוצאת עם עובד.</w:t>
      </w:r>
    </w:p>
    <w:p w:rsidR="003E798A" w:rsidRDefault="00FE018A">
      <w:pPr>
        <w:numPr>
          <w:ilvl w:val="0"/>
          <w:numId w:val="6"/>
        </w:numPr>
        <w:bidi/>
        <w:spacing w:line="360" w:lineRule="auto"/>
        <w:ind w:left="947" w:right="947" w:hanging="283"/>
        <w:rPr>
          <w:color w:val="17365D"/>
          <w:sz w:val="24"/>
        </w:rPr>
      </w:pPr>
      <w:r>
        <w:rPr>
          <w:color w:val="17365D"/>
          <w:sz w:val="24"/>
          <w:rtl/>
        </w:rPr>
        <w:t xml:space="preserve">פרק 7: העמדה </w:t>
      </w:r>
      <w:proofErr w:type="spellStart"/>
      <w:r>
        <w:rPr>
          <w:color w:val="17365D"/>
          <w:sz w:val="24"/>
          <w:rtl/>
        </w:rPr>
        <w:t>הדכאונית</w:t>
      </w:r>
      <w:proofErr w:type="spellEnd"/>
      <w:r>
        <w:rPr>
          <w:color w:val="17365D"/>
          <w:sz w:val="24"/>
          <w:rtl/>
        </w:rPr>
        <w:t xml:space="preserve"> (מ' 79 – 86).</w:t>
      </w:r>
    </w:p>
    <w:p w:rsidR="003E798A" w:rsidRDefault="00FE018A">
      <w:pPr>
        <w:numPr>
          <w:ilvl w:val="0"/>
          <w:numId w:val="9"/>
        </w:numPr>
        <w:bidi/>
        <w:spacing w:line="360" w:lineRule="auto"/>
        <w:ind w:left="0" w:right="720" w:hanging="359"/>
        <w:rPr>
          <w:color w:val="17365D"/>
          <w:sz w:val="24"/>
        </w:rPr>
      </w:pPr>
      <w:r>
        <w:rPr>
          <w:color w:val="17365D"/>
          <w:sz w:val="24"/>
          <w:rtl/>
        </w:rPr>
        <w:t>פרק 8: העמדה הפראנואידית-סכיזואידית (עמ' 100 – 105).</w:t>
      </w:r>
    </w:p>
    <w:p w:rsidR="003E798A" w:rsidRDefault="00FE018A">
      <w:pPr>
        <w:numPr>
          <w:ilvl w:val="0"/>
          <w:numId w:val="8"/>
        </w:numPr>
        <w:bidi/>
        <w:spacing w:line="360" w:lineRule="auto"/>
        <w:ind w:left="0" w:right="720" w:hanging="359"/>
        <w:rPr>
          <w:color w:val="17365D"/>
          <w:sz w:val="24"/>
        </w:rPr>
      </w:pPr>
      <w:proofErr w:type="spellStart"/>
      <w:r>
        <w:rPr>
          <w:color w:val="17365D"/>
          <w:sz w:val="24"/>
          <w:rtl/>
        </w:rPr>
        <w:t>סטרן</w:t>
      </w:r>
      <w:proofErr w:type="spellEnd"/>
      <w:r>
        <w:rPr>
          <w:color w:val="17365D"/>
          <w:sz w:val="24"/>
          <w:rtl/>
        </w:rPr>
        <w:t xml:space="preserve">, ד. (2000 [1985]) </w:t>
      </w:r>
      <w:r>
        <w:rPr>
          <w:b/>
          <w:color w:val="17365D"/>
          <w:sz w:val="24"/>
          <w:rtl/>
        </w:rPr>
        <w:t>עולמם הבין-אישי של תינוקות</w:t>
      </w:r>
      <w:r>
        <w:rPr>
          <w:color w:val="17365D"/>
          <w:sz w:val="24"/>
          <w:rtl/>
        </w:rPr>
        <w:t xml:space="preserve"> – גישה פסיכואנליטית        והתפתחותית, מודן.</w:t>
      </w:r>
    </w:p>
    <w:p w:rsidR="003E798A" w:rsidRDefault="003E798A">
      <w:pPr>
        <w:bidi/>
        <w:spacing w:line="360" w:lineRule="auto"/>
      </w:pPr>
    </w:p>
    <w:p w:rsidR="003E798A" w:rsidRDefault="003E798A">
      <w:pPr>
        <w:bidi/>
        <w:spacing w:line="360" w:lineRule="auto"/>
      </w:pPr>
    </w:p>
    <w:p w:rsidR="003E798A" w:rsidRDefault="003E798A">
      <w:pPr>
        <w:bidi/>
        <w:spacing w:line="360" w:lineRule="auto"/>
      </w:pPr>
    </w:p>
    <w:p w:rsidR="003E798A" w:rsidRDefault="003E798A">
      <w:pPr>
        <w:bidi/>
        <w:spacing w:line="360" w:lineRule="auto"/>
      </w:pPr>
    </w:p>
    <w:p w:rsidR="003E798A" w:rsidRDefault="003E798A">
      <w:pPr>
        <w:bidi/>
        <w:spacing w:line="360" w:lineRule="auto"/>
      </w:pPr>
    </w:p>
    <w:p w:rsidR="003E798A" w:rsidRDefault="003E798A">
      <w:pPr>
        <w:bidi/>
        <w:spacing w:line="360" w:lineRule="auto"/>
      </w:pPr>
    </w:p>
    <w:p w:rsidR="003E798A" w:rsidRDefault="00FE018A">
      <w:pPr>
        <w:numPr>
          <w:ilvl w:val="0"/>
          <w:numId w:val="8"/>
        </w:numPr>
        <w:bidi/>
        <w:spacing w:line="360" w:lineRule="auto"/>
        <w:ind w:left="0" w:right="720" w:hanging="359"/>
        <w:rPr>
          <w:color w:val="17365D"/>
          <w:sz w:val="24"/>
        </w:rPr>
      </w:pPr>
      <w:proofErr w:type="spellStart"/>
      <w:r>
        <w:rPr>
          <w:color w:val="17365D"/>
          <w:sz w:val="24"/>
          <w:rtl/>
        </w:rPr>
        <w:t>פרוני</w:t>
      </w:r>
      <w:proofErr w:type="spellEnd"/>
      <w:r>
        <w:rPr>
          <w:color w:val="17365D"/>
          <w:sz w:val="24"/>
          <w:rtl/>
        </w:rPr>
        <w:t>, א</w:t>
      </w:r>
      <w:r>
        <w:rPr>
          <w:color w:val="17365D"/>
          <w:sz w:val="24"/>
          <w:rtl/>
        </w:rPr>
        <w:t xml:space="preserve">. (2002). </w:t>
      </w:r>
      <w:r>
        <w:rPr>
          <w:b/>
          <w:color w:val="17365D"/>
          <w:sz w:val="24"/>
          <w:rtl/>
        </w:rPr>
        <w:t>המשחק</w:t>
      </w:r>
      <w:r>
        <w:rPr>
          <w:color w:val="17365D"/>
          <w:sz w:val="24"/>
          <w:rtl/>
        </w:rPr>
        <w:t>. תל-אביב: הוצאת ידיעות אחרונות.</w:t>
      </w:r>
    </w:p>
    <w:p w:rsidR="003E798A" w:rsidRDefault="00FE018A">
      <w:pPr>
        <w:numPr>
          <w:ilvl w:val="0"/>
          <w:numId w:val="4"/>
        </w:numPr>
        <w:bidi/>
        <w:spacing w:line="360" w:lineRule="auto"/>
        <w:ind w:left="947" w:right="947" w:hanging="283"/>
        <w:rPr>
          <w:color w:val="17365D"/>
          <w:sz w:val="24"/>
        </w:rPr>
      </w:pPr>
      <w:r>
        <w:rPr>
          <w:color w:val="17365D"/>
          <w:sz w:val="24"/>
          <w:rtl/>
        </w:rPr>
        <w:t xml:space="preserve">המשחק – </w:t>
      </w:r>
      <w:proofErr w:type="spellStart"/>
      <w:r>
        <w:rPr>
          <w:color w:val="17365D"/>
          <w:sz w:val="24"/>
          <w:rtl/>
        </w:rPr>
        <w:t>אמליה</w:t>
      </w:r>
      <w:proofErr w:type="spellEnd"/>
      <w:r>
        <w:rPr>
          <w:color w:val="17365D"/>
          <w:sz w:val="24"/>
          <w:rtl/>
        </w:rPr>
        <w:t xml:space="preserve"> </w:t>
      </w:r>
      <w:proofErr w:type="spellStart"/>
      <w:r>
        <w:rPr>
          <w:color w:val="17365D"/>
          <w:sz w:val="24"/>
          <w:rtl/>
        </w:rPr>
        <w:t>פרוני</w:t>
      </w:r>
      <w:proofErr w:type="spellEnd"/>
      <w:r>
        <w:rPr>
          <w:color w:val="17365D"/>
          <w:sz w:val="24"/>
          <w:rtl/>
        </w:rPr>
        <w:t xml:space="preserve"> (עמ' 84 – 87).</w:t>
      </w:r>
    </w:p>
    <w:p w:rsidR="003E798A" w:rsidRDefault="00FE018A">
      <w:pPr>
        <w:numPr>
          <w:ilvl w:val="0"/>
          <w:numId w:val="4"/>
        </w:numPr>
        <w:bidi/>
        <w:spacing w:line="360" w:lineRule="auto"/>
        <w:ind w:left="947" w:right="947" w:hanging="283"/>
        <w:rPr>
          <w:color w:val="17365D"/>
          <w:sz w:val="24"/>
        </w:rPr>
      </w:pPr>
      <w:r>
        <w:rPr>
          <w:color w:val="17365D"/>
          <w:sz w:val="24"/>
          <w:rtl/>
        </w:rPr>
        <w:t>המשחק והמח הכרוך בו – ליאורה לוריא (עמ' 88 – 103).</w:t>
      </w:r>
    </w:p>
    <w:p w:rsidR="003E798A" w:rsidRDefault="00FE018A">
      <w:pPr>
        <w:numPr>
          <w:ilvl w:val="0"/>
          <w:numId w:val="4"/>
        </w:numPr>
        <w:bidi/>
        <w:spacing w:line="360" w:lineRule="auto"/>
        <w:ind w:left="947" w:right="947" w:hanging="283"/>
        <w:rPr>
          <w:color w:val="17365D"/>
          <w:sz w:val="24"/>
        </w:rPr>
      </w:pPr>
      <w:r>
        <w:rPr>
          <w:color w:val="17365D"/>
          <w:sz w:val="24"/>
          <w:rtl/>
        </w:rPr>
        <w:t xml:space="preserve">הקשבה בהורות ובטיפול כמכל מחיה והכנה ליכולת לשחק – יעל עופרים </w:t>
      </w:r>
    </w:p>
    <w:p w:rsidR="003E798A" w:rsidRDefault="00FE018A">
      <w:pPr>
        <w:bidi/>
        <w:spacing w:line="360" w:lineRule="auto"/>
        <w:ind w:left="947" w:right="947" w:hanging="283"/>
      </w:pPr>
      <w:r>
        <w:rPr>
          <w:color w:val="17365D"/>
          <w:sz w:val="24"/>
          <w:rtl/>
        </w:rPr>
        <w:lastRenderedPageBreak/>
        <w:t xml:space="preserve">                (עמ' 52 – 63).</w:t>
      </w:r>
    </w:p>
    <w:p w:rsidR="003E798A" w:rsidRDefault="00FE018A">
      <w:pPr>
        <w:numPr>
          <w:ilvl w:val="0"/>
          <w:numId w:val="2"/>
        </w:numPr>
        <w:bidi/>
        <w:spacing w:line="360" w:lineRule="auto"/>
        <w:ind w:left="0" w:right="720" w:hanging="359"/>
        <w:rPr>
          <w:color w:val="17365D"/>
          <w:sz w:val="24"/>
        </w:rPr>
      </w:pPr>
      <w:r>
        <w:rPr>
          <w:color w:val="17365D"/>
          <w:sz w:val="24"/>
          <w:rtl/>
        </w:rPr>
        <w:t xml:space="preserve">פרויד, ז. (2002). </w:t>
      </w:r>
      <w:r>
        <w:rPr>
          <w:b/>
          <w:color w:val="17365D"/>
          <w:sz w:val="24"/>
          <w:rtl/>
        </w:rPr>
        <w:t>הטיפול הפס</w:t>
      </w:r>
      <w:r>
        <w:rPr>
          <w:b/>
          <w:color w:val="17365D"/>
          <w:sz w:val="24"/>
          <w:rtl/>
        </w:rPr>
        <w:t>יכואנליטי</w:t>
      </w:r>
      <w:r>
        <w:rPr>
          <w:color w:val="17365D"/>
          <w:sz w:val="24"/>
          <w:rtl/>
        </w:rPr>
        <w:t>. תל-אביב: הוצאת עם עובד.</w:t>
      </w:r>
    </w:p>
    <w:p w:rsidR="003E798A" w:rsidRDefault="00FE018A">
      <w:pPr>
        <w:numPr>
          <w:ilvl w:val="0"/>
          <w:numId w:val="1"/>
        </w:numPr>
        <w:bidi/>
        <w:spacing w:line="360" w:lineRule="auto"/>
        <w:ind w:left="947" w:right="947" w:hanging="283"/>
        <w:rPr>
          <w:color w:val="17365D"/>
          <w:sz w:val="24"/>
        </w:rPr>
      </w:pPr>
      <w:r>
        <w:rPr>
          <w:color w:val="17365D"/>
          <w:sz w:val="24"/>
          <w:rtl/>
        </w:rPr>
        <w:t>על פתיחת הטיפול (עמ' 99 – 119).</w:t>
      </w:r>
    </w:p>
    <w:p w:rsidR="003E798A" w:rsidRDefault="00FE018A">
      <w:pPr>
        <w:numPr>
          <w:ilvl w:val="0"/>
          <w:numId w:val="2"/>
        </w:numPr>
        <w:bidi/>
        <w:spacing w:line="360" w:lineRule="auto"/>
        <w:ind w:left="0" w:right="720" w:hanging="359"/>
        <w:rPr>
          <w:color w:val="17365D"/>
          <w:sz w:val="24"/>
        </w:rPr>
      </w:pPr>
      <w:proofErr w:type="spellStart"/>
      <w:r>
        <w:rPr>
          <w:color w:val="17365D"/>
          <w:sz w:val="24"/>
          <w:rtl/>
        </w:rPr>
        <w:t>פרנצי</w:t>
      </w:r>
      <w:proofErr w:type="spellEnd"/>
      <w:r>
        <w:rPr>
          <w:color w:val="17365D"/>
          <w:sz w:val="24"/>
          <w:rtl/>
        </w:rPr>
        <w:t xml:space="preserve">, ש. [1908-1933 (2003)] </w:t>
      </w:r>
      <w:r>
        <w:rPr>
          <w:b/>
          <w:color w:val="17365D"/>
          <w:sz w:val="24"/>
          <w:rtl/>
        </w:rPr>
        <w:t>בלבול השפות בין המבוגרים לילד</w:t>
      </w:r>
      <w:r>
        <w:rPr>
          <w:color w:val="17365D"/>
          <w:sz w:val="24"/>
          <w:rtl/>
        </w:rPr>
        <w:t>. תל אביב: הוצ' ספרים עם עובד.</w:t>
      </w:r>
    </w:p>
    <w:p w:rsidR="003E798A" w:rsidRDefault="00FE018A">
      <w:pPr>
        <w:numPr>
          <w:ilvl w:val="0"/>
          <w:numId w:val="3"/>
        </w:numPr>
        <w:bidi/>
        <w:spacing w:line="360" w:lineRule="auto"/>
        <w:ind w:left="947" w:right="947" w:hanging="283"/>
        <w:rPr>
          <w:color w:val="17365D"/>
          <w:sz w:val="24"/>
        </w:rPr>
      </w:pPr>
      <w:r>
        <w:rPr>
          <w:color w:val="17365D"/>
          <w:sz w:val="24"/>
          <w:rtl/>
        </w:rPr>
        <w:t xml:space="preserve">עמנואל ברמן: הקול האחר: שנדור </w:t>
      </w:r>
      <w:proofErr w:type="spellStart"/>
      <w:r>
        <w:rPr>
          <w:color w:val="17365D"/>
          <w:sz w:val="24"/>
          <w:rtl/>
        </w:rPr>
        <w:t>פרנצי</w:t>
      </w:r>
      <w:proofErr w:type="spellEnd"/>
      <w:r>
        <w:rPr>
          <w:color w:val="17365D"/>
          <w:sz w:val="24"/>
          <w:rtl/>
        </w:rPr>
        <w:t xml:space="preserve"> ותרומתו לטיפול הפסיכואנליטי  (עמ' 1-65) </w:t>
      </w:r>
    </w:p>
    <w:p w:rsidR="003E798A" w:rsidRDefault="00FE018A">
      <w:pPr>
        <w:numPr>
          <w:ilvl w:val="0"/>
          <w:numId w:val="3"/>
        </w:numPr>
        <w:bidi/>
        <w:spacing w:line="360" w:lineRule="auto"/>
        <w:ind w:left="947" w:right="947" w:hanging="283"/>
        <w:rPr>
          <w:color w:val="17365D"/>
          <w:sz w:val="24"/>
        </w:rPr>
      </w:pPr>
      <w:proofErr w:type="spellStart"/>
      <w:r>
        <w:rPr>
          <w:color w:val="17365D"/>
          <w:sz w:val="24"/>
          <w:rtl/>
        </w:rPr>
        <w:t>פרנצי</w:t>
      </w:r>
      <w:proofErr w:type="spellEnd"/>
      <w:r>
        <w:rPr>
          <w:color w:val="17365D"/>
          <w:sz w:val="24"/>
          <w:rtl/>
        </w:rPr>
        <w:t xml:space="preserve">: בלבול השפות בין </w:t>
      </w:r>
      <w:r>
        <w:rPr>
          <w:color w:val="17365D"/>
          <w:sz w:val="24"/>
          <w:rtl/>
        </w:rPr>
        <w:t xml:space="preserve">המבוגרים לילד: שפת הרוך ושפת התשוקה. </w:t>
      </w:r>
      <w:proofErr w:type="spellStart"/>
      <w:r>
        <w:rPr>
          <w:color w:val="17365D"/>
          <w:sz w:val="24"/>
          <w:rtl/>
        </w:rPr>
        <w:t>עמ</w:t>
      </w:r>
      <w:proofErr w:type="spellEnd"/>
      <w:r>
        <w:rPr>
          <w:color w:val="17365D"/>
          <w:sz w:val="24"/>
          <w:rtl/>
        </w:rPr>
        <w:t xml:space="preserve"> 199 – 207.</w:t>
      </w:r>
    </w:p>
    <w:p w:rsidR="003E798A" w:rsidRDefault="00FE018A">
      <w:pPr>
        <w:numPr>
          <w:ilvl w:val="0"/>
          <w:numId w:val="2"/>
        </w:numPr>
        <w:bidi/>
        <w:spacing w:line="360" w:lineRule="auto"/>
        <w:ind w:left="0" w:right="720" w:hanging="359"/>
        <w:rPr>
          <w:color w:val="17365D"/>
          <w:sz w:val="24"/>
        </w:rPr>
      </w:pPr>
      <w:proofErr w:type="spellStart"/>
      <w:r>
        <w:rPr>
          <w:color w:val="17365D"/>
          <w:sz w:val="24"/>
        </w:rPr>
        <w:t>Kohut</w:t>
      </w:r>
      <w:proofErr w:type="spellEnd"/>
      <w:r>
        <w:rPr>
          <w:color w:val="17365D"/>
          <w:sz w:val="24"/>
        </w:rPr>
        <w:t xml:space="preserve">, H. (1972) Thoughts on Narcissism and Narcissistic Rage, </w:t>
      </w:r>
      <w:proofErr w:type="spellStart"/>
      <w:r>
        <w:rPr>
          <w:color w:val="17365D"/>
          <w:sz w:val="24"/>
        </w:rPr>
        <w:t>Psychoanal</w:t>
      </w:r>
      <w:proofErr w:type="spellEnd"/>
      <w:r>
        <w:rPr>
          <w:color w:val="17365D"/>
          <w:sz w:val="24"/>
        </w:rPr>
        <w:t xml:space="preserve">. St. Child, 27:360-400                                                                                      </w:t>
      </w:r>
    </w:p>
    <w:p w:rsidR="003E798A" w:rsidRDefault="003E798A">
      <w:pPr>
        <w:bidi/>
        <w:spacing w:line="360" w:lineRule="auto"/>
      </w:pPr>
    </w:p>
    <w:p w:rsidR="003E798A" w:rsidRDefault="00FE018A">
      <w:pPr>
        <w:bidi/>
        <w:spacing w:line="360" w:lineRule="auto"/>
      </w:pPr>
      <w:r>
        <w:rPr>
          <w:color w:val="17365D"/>
          <w:sz w:val="24"/>
        </w:rPr>
        <w:tab/>
      </w:r>
    </w:p>
    <w:sectPr w:rsidR="003E798A">
      <w:headerReference w:type="default" r:id="rId8"/>
      <w:footerReference w:type="default" r:id="rId9"/>
      <w:pgSz w:w="11907" w:h="16840"/>
      <w:pgMar w:top="1077" w:right="1440" w:bottom="107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18A" w:rsidRDefault="00FE018A">
      <w:pPr>
        <w:spacing w:line="240" w:lineRule="auto"/>
      </w:pPr>
      <w:r>
        <w:separator/>
      </w:r>
    </w:p>
  </w:endnote>
  <w:endnote w:type="continuationSeparator" w:id="0">
    <w:p w:rsidR="00FE018A" w:rsidRDefault="00FE01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98A" w:rsidRDefault="003E798A">
    <w:pPr>
      <w:bidi/>
      <w:spacing w:line="240" w:lineRule="auto"/>
      <w:jc w:val="center"/>
    </w:pPr>
  </w:p>
  <w:p w:rsidR="003E798A" w:rsidRDefault="00FE018A">
    <w:pPr>
      <w:bidi/>
      <w:spacing w:line="240" w:lineRule="auto"/>
      <w:jc w:val="center"/>
    </w:pPr>
    <w:proofErr w:type="spellStart"/>
    <w:r>
      <w:rPr>
        <w:rFonts w:ascii="Times New Roman" w:eastAsia="Times New Roman" w:hAnsi="Times New Roman" w:cs="Times New Roman"/>
        <w:color w:val="002060"/>
        <w:sz w:val="24"/>
        <w:rtl/>
      </w:rPr>
      <w:t>מת"י</w:t>
    </w:r>
    <w:proofErr w:type="spellEnd"/>
    <w:r>
      <w:rPr>
        <w:rFonts w:ascii="Times New Roman" w:eastAsia="Times New Roman" w:hAnsi="Times New Roman" w:cs="Times New Roman"/>
        <w:color w:val="002060"/>
        <w:sz w:val="24"/>
        <w:rtl/>
      </w:rPr>
      <w:t xml:space="preserve"> ירושלים, דיסקין 17, מרכז </w:t>
    </w:r>
    <w:proofErr w:type="spellStart"/>
    <w:r>
      <w:rPr>
        <w:rFonts w:ascii="Times New Roman" w:eastAsia="Times New Roman" w:hAnsi="Times New Roman" w:cs="Times New Roman"/>
        <w:color w:val="002060"/>
        <w:sz w:val="24"/>
        <w:rtl/>
      </w:rPr>
      <w:t>ווראיטי</w:t>
    </w:r>
    <w:proofErr w:type="spellEnd"/>
    <w:r>
      <w:rPr>
        <w:rFonts w:ascii="Times New Roman" w:eastAsia="Times New Roman" w:hAnsi="Times New Roman" w:cs="Times New Roman"/>
        <w:color w:val="002060"/>
        <w:sz w:val="24"/>
        <w:rtl/>
      </w:rPr>
      <w:t xml:space="preserve">, ירושלים, 96640 , </w:t>
    </w:r>
  </w:p>
  <w:p w:rsidR="003E798A" w:rsidRDefault="00FE018A">
    <w:pPr>
      <w:bidi/>
      <w:spacing w:line="240" w:lineRule="auto"/>
      <w:jc w:val="center"/>
    </w:pPr>
    <w:r>
      <w:rPr>
        <w:rFonts w:ascii="Times New Roman" w:eastAsia="Times New Roman" w:hAnsi="Times New Roman" w:cs="Times New Roman"/>
        <w:color w:val="002060"/>
        <w:sz w:val="24"/>
        <w:rtl/>
      </w:rPr>
      <w:t>טלפון: 02/5391905, פקס: 02/5391924</w:t>
    </w:r>
  </w:p>
  <w:p w:rsidR="003E798A" w:rsidRDefault="00FE018A">
    <w:pPr>
      <w:bidi/>
      <w:spacing w:line="240" w:lineRule="auto"/>
      <w:jc w:val="center"/>
    </w:pPr>
    <w:hyperlink r:id="rId1">
      <w:r>
        <w:rPr>
          <w:rFonts w:ascii="Times New Roman" w:eastAsia="Times New Roman" w:hAnsi="Times New Roman" w:cs="Times New Roman"/>
          <w:color w:val="0000FF"/>
          <w:sz w:val="24"/>
          <w:u w:val="single"/>
        </w:rPr>
        <w:t>Mati905@gmail.com</w:t>
      </w:r>
    </w:hyperlink>
    <w:hyperlink r:id="rId2"/>
  </w:p>
  <w:p w:rsidR="003E798A" w:rsidRDefault="00FE018A">
    <w:pPr>
      <w:bidi/>
      <w:spacing w:line="240" w:lineRule="auto"/>
      <w:jc w:val="center"/>
    </w:pPr>
    <w:r>
      <w:rPr>
        <w:rFonts w:ascii="Times New Roman" w:eastAsia="Times New Roman" w:hAnsi="Times New Roman" w:cs="Times New Roman"/>
        <w:color w:val="002060"/>
        <w:sz w:val="24"/>
      </w:rPr>
      <w:t>www.matijer.com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18A" w:rsidRDefault="00FE018A">
      <w:pPr>
        <w:spacing w:line="240" w:lineRule="auto"/>
      </w:pPr>
      <w:r>
        <w:separator/>
      </w:r>
    </w:p>
  </w:footnote>
  <w:footnote w:type="continuationSeparator" w:id="0">
    <w:p w:rsidR="00FE018A" w:rsidRDefault="00FE01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98A" w:rsidRDefault="003E798A">
    <w:pPr>
      <w:bidi/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D48"/>
    <w:multiLevelType w:val="multilevel"/>
    <w:tmpl w:val="2D42B84A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eastAsia="Arial" w:hAnsi="Arial" w:cs="Arial"/>
        <w:vertAlign w:val="baseline"/>
      </w:rPr>
    </w:lvl>
  </w:abstractNum>
  <w:abstractNum w:abstractNumId="1">
    <w:nsid w:val="18D31C1F"/>
    <w:multiLevelType w:val="multilevel"/>
    <w:tmpl w:val="0DACFF5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>
    <w:nsid w:val="1B913B23"/>
    <w:multiLevelType w:val="multilevel"/>
    <w:tmpl w:val="CCBAA470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eastAsia="Arial" w:hAnsi="Arial" w:cs="Arial"/>
        <w:vertAlign w:val="baseline"/>
      </w:rPr>
    </w:lvl>
  </w:abstractNum>
  <w:abstractNum w:abstractNumId="3">
    <w:nsid w:val="23C56903"/>
    <w:multiLevelType w:val="multilevel"/>
    <w:tmpl w:val="ACB40EF4"/>
    <w:lvl w:ilvl="0">
      <w:start w:val="1"/>
      <w:numFmt w:val="bullet"/>
      <w:lvlText w:val="▪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">
    <w:nsid w:val="36A52874"/>
    <w:multiLevelType w:val="multilevel"/>
    <w:tmpl w:val="439AF5B6"/>
    <w:lvl w:ilvl="0">
      <w:start w:val="1"/>
      <w:numFmt w:val="bullet"/>
      <w:lvlText w:val="▪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5">
    <w:nsid w:val="4B2A4FD7"/>
    <w:multiLevelType w:val="multilevel"/>
    <w:tmpl w:val="5A3C1D5C"/>
    <w:lvl w:ilvl="0">
      <w:start w:val="1"/>
      <w:numFmt w:val="bullet"/>
      <w:lvlText w:val="▪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6">
    <w:nsid w:val="4C42387F"/>
    <w:multiLevelType w:val="multilevel"/>
    <w:tmpl w:val="2CBA668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7">
    <w:nsid w:val="5419105D"/>
    <w:multiLevelType w:val="multilevel"/>
    <w:tmpl w:val="05AE2CAA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eastAsia="Arial" w:hAnsi="Arial" w:cs="Arial"/>
        <w:vertAlign w:val="baseline"/>
      </w:rPr>
    </w:lvl>
  </w:abstractNum>
  <w:abstractNum w:abstractNumId="8">
    <w:nsid w:val="60D87981"/>
    <w:multiLevelType w:val="multilevel"/>
    <w:tmpl w:val="4420DEEC"/>
    <w:lvl w:ilvl="0">
      <w:start w:val="1"/>
      <w:numFmt w:val="bullet"/>
      <w:lvlText w:val="●"/>
      <w:lvlJc w:val="left"/>
      <w:pPr>
        <w:ind w:left="1454" w:firstLine="1094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174" w:firstLine="1814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894" w:firstLine="2534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614" w:firstLine="3254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334" w:firstLine="3974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054" w:firstLine="4694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774" w:firstLine="5414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494" w:firstLine="6134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214" w:firstLine="6854"/>
      </w:pPr>
      <w:rPr>
        <w:rFonts w:ascii="Arial" w:eastAsia="Arial" w:hAnsi="Arial" w:cs="Arial"/>
        <w:vertAlign w:val="baseline"/>
      </w:rPr>
    </w:lvl>
  </w:abstractNum>
  <w:abstractNum w:abstractNumId="9">
    <w:nsid w:val="71452377"/>
    <w:multiLevelType w:val="multilevel"/>
    <w:tmpl w:val="7FD6AD72"/>
    <w:lvl w:ilvl="0">
      <w:start w:val="1"/>
      <w:numFmt w:val="bullet"/>
      <w:lvlText w:val="▪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0">
    <w:nsid w:val="78B75690"/>
    <w:multiLevelType w:val="multilevel"/>
    <w:tmpl w:val="5680F970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eastAsia="Arial" w:hAnsi="Arial" w:cs="Arial"/>
        <w:vertAlign w:val="baseline"/>
      </w:rPr>
    </w:lvl>
  </w:abstractNum>
  <w:abstractNum w:abstractNumId="11">
    <w:nsid w:val="78D90073"/>
    <w:multiLevelType w:val="multilevel"/>
    <w:tmpl w:val="D60644EA"/>
    <w:lvl w:ilvl="0">
      <w:start w:val="1"/>
      <w:numFmt w:val="bullet"/>
      <w:lvlText w:val="▪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2">
    <w:nsid w:val="7BB23D45"/>
    <w:multiLevelType w:val="multilevel"/>
    <w:tmpl w:val="736EA3F4"/>
    <w:lvl w:ilvl="0">
      <w:start w:val="1"/>
      <w:numFmt w:val="bullet"/>
      <w:lvlText w:val="▪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8"/>
  </w:num>
  <w:num w:numId="5">
    <w:abstractNumId w:val="5"/>
  </w:num>
  <w:num w:numId="6">
    <w:abstractNumId w:val="7"/>
  </w:num>
  <w:num w:numId="7">
    <w:abstractNumId w:val="10"/>
  </w:num>
  <w:num w:numId="8">
    <w:abstractNumId w:val="12"/>
  </w:num>
  <w:num w:numId="9">
    <w:abstractNumId w:val="1"/>
  </w:num>
  <w:num w:numId="10">
    <w:abstractNumId w:val="11"/>
  </w:num>
  <w:num w:numId="11">
    <w:abstractNumId w:val="3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E798A"/>
    <w:rsid w:val="003E798A"/>
    <w:rsid w:val="00FE018A"/>
    <w:rsid w:val="00FE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ti905@gmail.com" TargetMode="External"/><Relationship Id="rId1" Type="http://schemas.openxmlformats.org/officeDocument/2006/relationships/hyperlink" Target="mailto:Mati905@gmail.co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1. רשימה ביבליוגרפית-פסיכואנליזה-פסיכולוגיה-פסיכותרפיה.docx</vt:lpstr>
    </vt:vector>
  </TitlesOfParts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רשימה ביבליוגרפית-פסיכואנליזה-פסיכולוגיה-פסיכותרפיה.docx</dc:title>
  <dc:creator>Suzana</dc:creator>
  <cp:lastModifiedBy>Suzana</cp:lastModifiedBy>
  <cp:revision>2</cp:revision>
  <dcterms:created xsi:type="dcterms:W3CDTF">2015-01-08T16:31:00Z</dcterms:created>
  <dcterms:modified xsi:type="dcterms:W3CDTF">2015-01-08T16:31:00Z</dcterms:modified>
</cp:coreProperties>
</file>